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90DD2" w:rsidRPr="00090DD2" w:rsidRDefault="00090DD2" w:rsidP="00263E48">
      <w:pPr>
        <w:tabs>
          <w:tab w:val="left" w:pos="-720"/>
        </w:tabs>
        <w:suppressAutoHyphens w:val="0"/>
        <w:overflowPunct w:val="0"/>
        <w:autoSpaceDE w:val="0"/>
        <w:autoSpaceDN w:val="0"/>
        <w:adjustRightInd w:val="0"/>
        <w:spacing w:after="0" w:line="240" w:lineRule="auto"/>
        <w:jc w:val="right"/>
        <w:textAlignment w:val="baseline"/>
        <w:rPr>
          <w:rFonts w:eastAsia="Times New Roman"/>
          <w:b/>
          <w:sz w:val="32"/>
          <w:szCs w:val="28"/>
          <w:lang w:eastAsia="en-US"/>
        </w:rPr>
      </w:pPr>
      <w:r w:rsidRPr="00090DD2">
        <w:rPr>
          <w:rFonts w:eastAsia="Times New Roman"/>
          <w:b/>
          <w:sz w:val="32"/>
          <w:szCs w:val="28"/>
          <w:lang w:eastAsia="en-US"/>
        </w:rPr>
        <w:t xml:space="preserve"># </w:t>
      </w:r>
      <w:r w:rsidR="00AE2DD3">
        <w:rPr>
          <w:rFonts w:eastAsia="Times New Roman"/>
          <w:b/>
          <w:sz w:val="32"/>
          <w:szCs w:val="28"/>
          <w:lang w:eastAsia="en-US"/>
        </w:rPr>
        <w:t>134</w:t>
      </w:r>
      <w:r w:rsidRPr="00090DD2">
        <w:rPr>
          <w:rFonts w:eastAsia="Times New Roman"/>
          <w:b/>
          <w:sz w:val="32"/>
          <w:szCs w:val="28"/>
          <w:lang w:eastAsia="en-US"/>
        </w:rPr>
        <w:t>-</w:t>
      </w:r>
      <w:r w:rsidR="00AE2DD3">
        <w:rPr>
          <w:rFonts w:eastAsia="Times New Roman"/>
          <w:b/>
          <w:sz w:val="32"/>
          <w:szCs w:val="28"/>
          <w:lang w:eastAsia="en-US"/>
        </w:rPr>
        <w:t>T</w:t>
      </w:r>
      <w:r w:rsidRPr="00090DD2">
        <w:rPr>
          <w:rFonts w:eastAsia="Times New Roman"/>
          <w:b/>
          <w:sz w:val="32"/>
          <w:szCs w:val="28"/>
          <w:lang w:eastAsia="en-US"/>
        </w:rPr>
        <w:t>-20</w:t>
      </w:r>
    </w:p>
    <w:p w:rsidR="00090DD2" w:rsidRPr="00090DD2" w:rsidRDefault="00090DD2" w:rsidP="00263E48">
      <w:pPr>
        <w:tabs>
          <w:tab w:val="left" w:pos="-720"/>
        </w:tabs>
        <w:suppressAutoHyphens w:val="0"/>
        <w:overflowPunct w:val="0"/>
        <w:autoSpaceDE w:val="0"/>
        <w:autoSpaceDN w:val="0"/>
        <w:adjustRightInd w:val="0"/>
        <w:spacing w:after="0" w:line="240" w:lineRule="auto"/>
        <w:jc w:val="center"/>
        <w:textAlignment w:val="baseline"/>
        <w:rPr>
          <w:rFonts w:eastAsia="Times New Roman"/>
          <w:b/>
          <w:sz w:val="28"/>
          <w:szCs w:val="28"/>
          <w:lang w:eastAsia="en-US"/>
        </w:rPr>
      </w:pPr>
    </w:p>
    <w:p w:rsidR="00AE2DD3" w:rsidRPr="00AE2DD3" w:rsidRDefault="00AE2DD3" w:rsidP="00263E48">
      <w:pPr>
        <w:tabs>
          <w:tab w:val="left" w:pos="-720"/>
        </w:tabs>
        <w:suppressAutoHyphens w:val="0"/>
        <w:overflowPunct w:val="0"/>
        <w:autoSpaceDE w:val="0"/>
        <w:autoSpaceDN w:val="0"/>
        <w:adjustRightInd w:val="0"/>
        <w:spacing w:after="0" w:line="240" w:lineRule="auto"/>
        <w:jc w:val="center"/>
        <w:textAlignment w:val="baseline"/>
        <w:rPr>
          <w:rFonts w:eastAsia="Times New Roman"/>
          <w:b/>
          <w:sz w:val="28"/>
          <w:szCs w:val="28"/>
          <w:lang w:eastAsia="en-US"/>
        </w:rPr>
      </w:pPr>
      <w:r w:rsidRPr="00AE2DD3">
        <w:rPr>
          <w:rFonts w:eastAsia="Times New Roman"/>
          <w:b/>
          <w:sz w:val="28"/>
          <w:szCs w:val="28"/>
          <w:lang w:eastAsia="en-US"/>
        </w:rPr>
        <w:t xml:space="preserve">Preparation of MET Students for the NCEES FE Exam - Lessons Learned </w:t>
      </w:r>
    </w:p>
    <w:p w:rsidR="00090DD2" w:rsidRPr="00090DD2" w:rsidRDefault="00090DD2" w:rsidP="00263E48">
      <w:pPr>
        <w:tabs>
          <w:tab w:val="left" w:pos="-720"/>
        </w:tabs>
        <w:suppressAutoHyphens w:val="0"/>
        <w:overflowPunct w:val="0"/>
        <w:autoSpaceDE w:val="0"/>
        <w:autoSpaceDN w:val="0"/>
        <w:adjustRightInd w:val="0"/>
        <w:spacing w:after="0" w:line="240" w:lineRule="auto"/>
        <w:jc w:val="center"/>
        <w:textAlignment w:val="baseline"/>
        <w:rPr>
          <w:rFonts w:eastAsia="Times New Roman"/>
          <w:sz w:val="28"/>
          <w:szCs w:val="28"/>
          <w:lang w:eastAsia="en-US"/>
        </w:rPr>
      </w:pPr>
    </w:p>
    <w:p w:rsidR="006C3F58" w:rsidRPr="006C3F58" w:rsidRDefault="006C3F58" w:rsidP="00263E48">
      <w:pPr>
        <w:tabs>
          <w:tab w:val="left" w:pos="-720"/>
        </w:tabs>
        <w:suppressAutoHyphens w:val="0"/>
        <w:overflowPunct w:val="0"/>
        <w:autoSpaceDE w:val="0"/>
        <w:autoSpaceDN w:val="0"/>
        <w:adjustRightInd w:val="0"/>
        <w:spacing w:after="0" w:line="240" w:lineRule="auto"/>
        <w:jc w:val="center"/>
        <w:textAlignment w:val="baseline"/>
        <w:rPr>
          <w:rFonts w:eastAsia="Times New Roman"/>
          <w:szCs w:val="24"/>
          <w:lang w:eastAsia="en-US"/>
        </w:rPr>
      </w:pPr>
      <w:r w:rsidRPr="006C3F58">
        <w:rPr>
          <w:rFonts w:eastAsia="Times New Roman"/>
          <w:szCs w:val="24"/>
          <w:lang w:eastAsia="en-US"/>
        </w:rPr>
        <w:t>Kevin Johnson</w:t>
      </w:r>
    </w:p>
    <w:p w:rsidR="006C3F58" w:rsidRPr="006C3F58" w:rsidRDefault="006C3F58" w:rsidP="00263E48">
      <w:pPr>
        <w:tabs>
          <w:tab w:val="left" w:pos="-720"/>
        </w:tabs>
        <w:suppressAutoHyphens w:val="0"/>
        <w:overflowPunct w:val="0"/>
        <w:autoSpaceDE w:val="0"/>
        <w:autoSpaceDN w:val="0"/>
        <w:adjustRightInd w:val="0"/>
        <w:spacing w:after="0" w:line="240" w:lineRule="auto"/>
        <w:ind w:left="-180" w:firstLine="180"/>
        <w:jc w:val="center"/>
        <w:textAlignment w:val="baseline"/>
        <w:rPr>
          <w:rFonts w:eastAsia="Times New Roman"/>
          <w:szCs w:val="24"/>
          <w:lang w:eastAsia="en-US"/>
        </w:rPr>
      </w:pPr>
      <w:r w:rsidRPr="006C3F58">
        <w:rPr>
          <w:rFonts w:eastAsia="Times New Roman"/>
          <w:szCs w:val="24"/>
          <w:lang w:eastAsia="en-US"/>
        </w:rPr>
        <w:t>Michigan Technological University</w:t>
      </w:r>
    </w:p>
    <w:p w:rsidR="006C3F58" w:rsidRPr="006C3F58" w:rsidRDefault="002E7885" w:rsidP="00263E48">
      <w:pPr>
        <w:tabs>
          <w:tab w:val="left" w:pos="-720"/>
        </w:tabs>
        <w:suppressAutoHyphens w:val="0"/>
        <w:overflowPunct w:val="0"/>
        <w:autoSpaceDE w:val="0"/>
        <w:autoSpaceDN w:val="0"/>
        <w:adjustRightInd w:val="0"/>
        <w:spacing w:after="0" w:line="240" w:lineRule="auto"/>
        <w:ind w:left="-180" w:firstLine="180"/>
        <w:jc w:val="center"/>
        <w:textAlignment w:val="baseline"/>
        <w:rPr>
          <w:color w:val="000000"/>
          <w:szCs w:val="24"/>
        </w:rPr>
      </w:pPr>
      <w:hyperlink r:id="rId9" w:history="1">
        <w:r w:rsidR="006C3F58" w:rsidRPr="006C3F58">
          <w:rPr>
            <w:rStyle w:val="Hyperlink"/>
            <w:szCs w:val="24"/>
          </w:rPr>
          <w:t>kevinj@mtu.edu</w:t>
        </w:r>
      </w:hyperlink>
    </w:p>
    <w:p w:rsidR="00090DD2" w:rsidRPr="00090DD2" w:rsidRDefault="00090DD2" w:rsidP="00263E48">
      <w:pPr>
        <w:tabs>
          <w:tab w:val="left" w:pos="-720"/>
        </w:tabs>
        <w:suppressAutoHyphens w:val="0"/>
        <w:overflowPunct w:val="0"/>
        <w:autoSpaceDE w:val="0"/>
        <w:autoSpaceDN w:val="0"/>
        <w:adjustRightInd w:val="0"/>
        <w:spacing w:after="0" w:line="240" w:lineRule="auto"/>
        <w:jc w:val="center"/>
        <w:textAlignment w:val="baseline"/>
        <w:rPr>
          <w:rFonts w:eastAsia="Times New Roman"/>
          <w:b/>
          <w:szCs w:val="24"/>
          <w:lang w:eastAsia="en-US"/>
        </w:rPr>
      </w:pPr>
    </w:p>
    <w:p w:rsidR="006C3F58" w:rsidRPr="006C3F58" w:rsidRDefault="006C3F58" w:rsidP="00263E48">
      <w:pPr>
        <w:tabs>
          <w:tab w:val="left" w:pos="-720"/>
        </w:tabs>
        <w:suppressAutoHyphens w:val="0"/>
        <w:overflowPunct w:val="0"/>
        <w:autoSpaceDE w:val="0"/>
        <w:autoSpaceDN w:val="0"/>
        <w:adjustRightInd w:val="0"/>
        <w:spacing w:after="0" w:line="240" w:lineRule="auto"/>
        <w:jc w:val="center"/>
        <w:textAlignment w:val="baseline"/>
        <w:rPr>
          <w:rFonts w:eastAsia="Times New Roman"/>
          <w:szCs w:val="24"/>
          <w:lang w:eastAsia="en-US"/>
        </w:rPr>
      </w:pPr>
      <w:r w:rsidRPr="006C3F58">
        <w:rPr>
          <w:rFonts w:eastAsia="Times New Roman"/>
          <w:szCs w:val="24"/>
          <w:lang w:eastAsia="en-US"/>
        </w:rPr>
        <w:t>John L. Irwin</w:t>
      </w:r>
    </w:p>
    <w:p w:rsidR="006C3F58" w:rsidRPr="006C3F58" w:rsidRDefault="006C3F58" w:rsidP="00263E48">
      <w:pPr>
        <w:tabs>
          <w:tab w:val="left" w:pos="-720"/>
        </w:tabs>
        <w:suppressAutoHyphens w:val="0"/>
        <w:overflowPunct w:val="0"/>
        <w:autoSpaceDE w:val="0"/>
        <w:autoSpaceDN w:val="0"/>
        <w:adjustRightInd w:val="0"/>
        <w:spacing w:after="0" w:line="240" w:lineRule="auto"/>
        <w:ind w:left="-180" w:firstLine="180"/>
        <w:jc w:val="center"/>
        <w:textAlignment w:val="baseline"/>
        <w:rPr>
          <w:rFonts w:eastAsia="Times New Roman"/>
          <w:szCs w:val="24"/>
          <w:lang w:eastAsia="en-US"/>
        </w:rPr>
      </w:pPr>
      <w:r w:rsidRPr="006C3F58">
        <w:rPr>
          <w:rFonts w:eastAsia="Times New Roman"/>
          <w:szCs w:val="24"/>
          <w:lang w:eastAsia="en-US"/>
        </w:rPr>
        <w:t>Michigan Technological University</w:t>
      </w:r>
    </w:p>
    <w:p w:rsidR="00090DD2" w:rsidRPr="006C3F58" w:rsidRDefault="002E7885" w:rsidP="00263E48">
      <w:pPr>
        <w:tabs>
          <w:tab w:val="left" w:pos="-720"/>
        </w:tabs>
        <w:suppressAutoHyphens w:val="0"/>
        <w:overflowPunct w:val="0"/>
        <w:autoSpaceDE w:val="0"/>
        <w:autoSpaceDN w:val="0"/>
        <w:adjustRightInd w:val="0"/>
        <w:spacing w:after="0" w:line="240" w:lineRule="auto"/>
        <w:ind w:left="-180" w:firstLine="180"/>
        <w:jc w:val="center"/>
        <w:textAlignment w:val="baseline"/>
        <w:rPr>
          <w:rFonts w:eastAsia="Times New Roman"/>
          <w:szCs w:val="24"/>
          <w:lang w:eastAsia="en-US"/>
        </w:rPr>
      </w:pPr>
      <w:hyperlink r:id="rId10" w:history="1">
        <w:r w:rsidR="006C3F58" w:rsidRPr="006C3F58">
          <w:rPr>
            <w:rStyle w:val="Hyperlink"/>
            <w:rFonts w:eastAsia="Times New Roman"/>
            <w:szCs w:val="24"/>
            <w:lang w:eastAsia="en-US"/>
          </w:rPr>
          <w:t>jlirwin@mtu.edu</w:t>
        </w:r>
      </w:hyperlink>
    </w:p>
    <w:p w:rsidR="006C3F58" w:rsidRPr="00090DD2" w:rsidRDefault="006C3F58" w:rsidP="00263E48">
      <w:pPr>
        <w:tabs>
          <w:tab w:val="left" w:pos="-720"/>
        </w:tabs>
        <w:suppressAutoHyphens w:val="0"/>
        <w:overflowPunct w:val="0"/>
        <w:autoSpaceDE w:val="0"/>
        <w:autoSpaceDN w:val="0"/>
        <w:adjustRightInd w:val="0"/>
        <w:spacing w:after="0" w:line="240" w:lineRule="auto"/>
        <w:ind w:left="-180" w:firstLine="180"/>
        <w:jc w:val="center"/>
        <w:textAlignment w:val="baseline"/>
        <w:rPr>
          <w:rFonts w:eastAsia="Times New Roman"/>
          <w:b/>
          <w:szCs w:val="24"/>
          <w:lang w:eastAsia="en-US"/>
        </w:rPr>
      </w:pPr>
    </w:p>
    <w:p w:rsidR="00090DD2" w:rsidRPr="00090DD2" w:rsidRDefault="00090DD2" w:rsidP="00263E48">
      <w:pPr>
        <w:tabs>
          <w:tab w:val="left" w:pos="-720"/>
        </w:tabs>
        <w:suppressAutoHyphens w:val="0"/>
        <w:overflowPunct w:val="0"/>
        <w:autoSpaceDE w:val="0"/>
        <w:autoSpaceDN w:val="0"/>
        <w:adjustRightInd w:val="0"/>
        <w:spacing w:after="0" w:line="240" w:lineRule="auto"/>
        <w:jc w:val="center"/>
        <w:textAlignment w:val="baseline"/>
        <w:rPr>
          <w:rFonts w:eastAsia="Times New Roman"/>
          <w:b/>
          <w:szCs w:val="24"/>
          <w:lang w:eastAsia="en-US"/>
        </w:rPr>
      </w:pPr>
    </w:p>
    <w:p w:rsidR="00090DD2" w:rsidRPr="00090DD2" w:rsidRDefault="00090DD2" w:rsidP="00263E48">
      <w:pPr>
        <w:tabs>
          <w:tab w:val="left" w:pos="-720"/>
        </w:tabs>
        <w:suppressAutoHyphens w:val="0"/>
        <w:overflowPunct w:val="0"/>
        <w:autoSpaceDE w:val="0"/>
        <w:autoSpaceDN w:val="0"/>
        <w:adjustRightInd w:val="0"/>
        <w:spacing w:after="0" w:line="240" w:lineRule="auto"/>
        <w:jc w:val="center"/>
        <w:textAlignment w:val="baseline"/>
        <w:rPr>
          <w:rFonts w:eastAsia="Times New Roman"/>
          <w:b/>
          <w:szCs w:val="24"/>
          <w:lang w:eastAsia="en-US"/>
        </w:rPr>
      </w:pPr>
    </w:p>
    <w:p w:rsidR="00090DD2" w:rsidRPr="00090DD2" w:rsidRDefault="00090DD2" w:rsidP="00263E48">
      <w:pPr>
        <w:tabs>
          <w:tab w:val="left" w:pos="8640"/>
        </w:tabs>
        <w:suppressAutoHyphens w:val="0"/>
        <w:overflowPunct w:val="0"/>
        <w:autoSpaceDE w:val="0"/>
        <w:autoSpaceDN w:val="0"/>
        <w:adjustRightInd w:val="0"/>
        <w:spacing w:after="0" w:line="240" w:lineRule="auto"/>
        <w:ind w:right="-360"/>
        <w:textAlignment w:val="baseline"/>
        <w:rPr>
          <w:rFonts w:eastAsia="Times New Roman"/>
          <w:b/>
          <w:szCs w:val="24"/>
          <w:lang w:eastAsia="en-US"/>
        </w:rPr>
      </w:pPr>
      <w:r w:rsidRPr="00090DD2">
        <w:rPr>
          <w:rFonts w:eastAsia="Times New Roman"/>
          <w:b/>
          <w:szCs w:val="24"/>
          <w:lang w:eastAsia="en-US"/>
        </w:rPr>
        <w:t>Abstract</w:t>
      </w:r>
    </w:p>
    <w:p w:rsidR="00090DD2" w:rsidRPr="00090DD2" w:rsidRDefault="00090DD2" w:rsidP="00263E48">
      <w:pPr>
        <w:tabs>
          <w:tab w:val="left" w:pos="8640"/>
        </w:tabs>
        <w:suppressAutoHyphens w:val="0"/>
        <w:overflowPunct w:val="0"/>
        <w:autoSpaceDE w:val="0"/>
        <w:autoSpaceDN w:val="0"/>
        <w:adjustRightInd w:val="0"/>
        <w:spacing w:after="0" w:line="240" w:lineRule="auto"/>
        <w:ind w:right="-360"/>
        <w:textAlignment w:val="baseline"/>
        <w:rPr>
          <w:rFonts w:eastAsia="Times New Roman"/>
          <w:szCs w:val="24"/>
          <w:lang w:eastAsia="en-US"/>
        </w:rPr>
      </w:pPr>
    </w:p>
    <w:p w:rsidR="00A862C9" w:rsidRDefault="00D570A9" w:rsidP="00263E48">
      <w:pPr>
        <w:suppressAutoHyphens w:val="0"/>
        <w:spacing w:after="0" w:line="240" w:lineRule="auto"/>
        <w:rPr>
          <w:rFonts w:eastAsia="Times New Roman"/>
          <w:color w:val="000000"/>
          <w:szCs w:val="24"/>
        </w:rPr>
      </w:pPr>
      <w:r w:rsidRPr="00D570A9">
        <w:rPr>
          <w:rFonts w:eastAsia="Times New Roman"/>
          <w:color w:val="000000"/>
          <w:szCs w:val="24"/>
        </w:rPr>
        <w:t xml:space="preserve">The National Council of Examiners for Engineering and Surveying (NCEES) provides professional licensure for engineers and surveyors. The Fundamentals of Engineering (FE) exam is the first step in the process to becoming a professional licensed engineer (PE), which is required for professional engineering positions governed by the GS-0800 policy for individual occupational requirements. Private companies may also require having a certified PE on staff for liability protection. There are some obstacles in place in the United States for Engineering Technology graduates, even if they successfully pass the FE exam. Engineers are licensed at the state level by professional licensing boards each having different regulations even though the examinations to become a PE are the same in all states. </w:t>
      </w:r>
      <w:r w:rsidR="008C39F0" w:rsidRPr="008C39F0">
        <w:rPr>
          <w:rFonts w:eastAsia="Times New Roman"/>
          <w:color w:val="000000"/>
          <w:szCs w:val="24"/>
        </w:rPr>
        <w:t>The purpose of this study is to investigate the process</w:t>
      </w:r>
      <w:r w:rsidR="00D25367">
        <w:rPr>
          <w:rFonts w:eastAsia="Times New Roman"/>
          <w:color w:val="000000"/>
          <w:szCs w:val="24"/>
        </w:rPr>
        <w:t xml:space="preserve"> used</w:t>
      </w:r>
      <w:r w:rsidR="008C39F0" w:rsidRPr="008C39F0">
        <w:rPr>
          <w:rFonts w:eastAsia="Times New Roman"/>
          <w:color w:val="000000"/>
          <w:szCs w:val="24"/>
        </w:rPr>
        <w:t xml:space="preserve"> </w:t>
      </w:r>
      <w:r w:rsidR="004A5100" w:rsidRPr="008C39F0">
        <w:rPr>
          <w:rFonts w:eastAsia="Times New Roman"/>
          <w:color w:val="000000"/>
          <w:szCs w:val="24"/>
        </w:rPr>
        <w:t xml:space="preserve">to prepare students for the FE Mechanical exam </w:t>
      </w:r>
      <w:r w:rsidR="008C39F0" w:rsidRPr="008C39F0">
        <w:rPr>
          <w:rFonts w:eastAsia="Times New Roman"/>
          <w:color w:val="000000"/>
          <w:szCs w:val="24"/>
        </w:rPr>
        <w:t xml:space="preserve">in an ETAC/ABET accredited Manufacturing and Mechanical Engineering Technology (MMET) </w:t>
      </w:r>
      <w:r w:rsidR="004A5100">
        <w:rPr>
          <w:rFonts w:eastAsia="Times New Roman"/>
          <w:color w:val="000000"/>
          <w:szCs w:val="24"/>
        </w:rPr>
        <w:t>d</w:t>
      </w:r>
      <w:r w:rsidR="008C39F0" w:rsidRPr="008C39F0">
        <w:rPr>
          <w:rFonts w:eastAsia="Times New Roman"/>
          <w:color w:val="000000"/>
          <w:szCs w:val="24"/>
        </w:rPr>
        <w:t>epartment.</w:t>
      </w:r>
      <w:r w:rsidR="008C39F0">
        <w:rPr>
          <w:rFonts w:eastAsia="Times New Roman"/>
          <w:color w:val="000000"/>
          <w:szCs w:val="24"/>
        </w:rPr>
        <w:t xml:space="preserve"> </w:t>
      </w:r>
      <w:r w:rsidRPr="00D570A9">
        <w:rPr>
          <w:rFonts w:eastAsia="Times New Roman"/>
          <w:color w:val="000000"/>
          <w:szCs w:val="24"/>
        </w:rPr>
        <w:t>Data gathered from 2014-</w:t>
      </w:r>
      <w:r w:rsidR="00951C9A">
        <w:rPr>
          <w:rFonts w:eastAsia="Times New Roman"/>
          <w:color w:val="000000"/>
          <w:szCs w:val="24"/>
        </w:rPr>
        <w:t>19</w:t>
      </w:r>
      <w:r w:rsidRPr="00D570A9">
        <w:rPr>
          <w:rFonts w:eastAsia="Times New Roman"/>
          <w:color w:val="000000"/>
          <w:szCs w:val="24"/>
        </w:rPr>
        <w:t xml:space="preserve"> has influenced program improvement efforts and professional practice teaching course methodology. FE exam results </w:t>
      </w:r>
      <w:r w:rsidR="006B440C">
        <w:rPr>
          <w:rFonts w:eastAsia="Times New Roman"/>
          <w:color w:val="000000"/>
          <w:szCs w:val="24"/>
        </w:rPr>
        <w:t>increased</w:t>
      </w:r>
      <w:r w:rsidRPr="00D570A9">
        <w:rPr>
          <w:rFonts w:eastAsia="Times New Roman"/>
          <w:color w:val="000000"/>
          <w:szCs w:val="24"/>
        </w:rPr>
        <w:t xml:space="preserve"> over time, but </w:t>
      </w:r>
      <w:r w:rsidR="00D25367">
        <w:rPr>
          <w:rFonts w:eastAsia="Times New Roman"/>
          <w:color w:val="000000"/>
          <w:szCs w:val="24"/>
        </w:rPr>
        <w:t>some</w:t>
      </w:r>
      <w:r w:rsidRPr="00D570A9">
        <w:rPr>
          <w:rFonts w:eastAsia="Times New Roman"/>
          <w:color w:val="000000"/>
          <w:szCs w:val="24"/>
        </w:rPr>
        <w:t xml:space="preserve"> factors i</w:t>
      </w:r>
      <w:r w:rsidR="00D25367">
        <w:rPr>
          <w:rFonts w:eastAsia="Times New Roman"/>
          <w:color w:val="000000"/>
          <w:szCs w:val="24"/>
        </w:rPr>
        <w:t>nfluencing</w:t>
      </w:r>
      <w:r w:rsidRPr="00D570A9">
        <w:rPr>
          <w:rFonts w:eastAsia="Times New Roman"/>
          <w:color w:val="000000"/>
          <w:szCs w:val="24"/>
        </w:rPr>
        <w:t xml:space="preserve"> the increase </w:t>
      </w:r>
      <w:r w:rsidR="00D25367">
        <w:rPr>
          <w:rFonts w:eastAsia="Times New Roman"/>
          <w:color w:val="000000"/>
          <w:szCs w:val="24"/>
        </w:rPr>
        <w:t>remain</w:t>
      </w:r>
      <w:r w:rsidRPr="00D570A9">
        <w:rPr>
          <w:rFonts w:eastAsia="Times New Roman"/>
          <w:color w:val="000000"/>
          <w:szCs w:val="24"/>
        </w:rPr>
        <w:t xml:space="preserve"> unknown. </w:t>
      </w:r>
      <w:r w:rsidR="00A862C9">
        <w:rPr>
          <w:rFonts w:eastAsia="Times New Roman"/>
          <w:color w:val="000000"/>
          <w:szCs w:val="24"/>
        </w:rPr>
        <w:t>M</w:t>
      </w:r>
      <w:r w:rsidRPr="00D570A9">
        <w:rPr>
          <w:rFonts w:eastAsia="Times New Roman"/>
          <w:color w:val="000000"/>
          <w:szCs w:val="24"/>
        </w:rPr>
        <w:t xml:space="preserve">ethods used </w:t>
      </w:r>
      <w:r w:rsidR="00A862C9">
        <w:rPr>
          <w:rFonts w:eastAsia="Times New Roman"/>
          <w:color w:val="000000"/>
          <w:szCs w:val="24"/>
        </w:rPr>
        <w:t>to teach</w:t>
      </w:r>
      <w:r w:rsidRPr="00D570A9">
        <w:rPr>
          <w:rFonts w:eastAsia="Times New Roman"/>
          <w:color w:val="000000"/>
          <w:szCs w:val="24"/>
        </w:rPr>
        <w:t xml:space="preserve"> the professional practice course include </w:t>
      </w:r>
      <w:r w:rsidR="00A862C9" w:rsidRPr="00D570A9">
        <w:rPr>
          <w:rFonts w:eastAsia="Times New Roman"/>
          <w:color w:val="000000"/>
          <w:szCs w:val="24"/>
        </w:rPr>
        <w:t>creat</w:t>
      </w:r>
      <w:r w:rsidR="00A862C9">
        <w:rPr>
          <w:rFonts w:eastAsia="Times New Roman"/>
          <w:color w:val="000000"/>
          <w:szCs w:val="24"/>
        </w:rPr>
        <w:t>ing</w:t>
      </w:r>
      <w:r w:rsidR="00A862C9" w:rsidRPr="00D570A9">
        <w:rPr>
          <w:rFonts w:eastAsia="Times New Roman"/>
          <w:color w:val="000000"/>
          <w:szCs w:val="24"/>
        </w:rPr>
        <w:t xml:space="preserve"> question banks developed from sample course exam questions</w:t>
      </w:r>
      <w:r w:rsidRPr="00D570A9">
        <w:rPr>
          <w:rFonts w:eastAsia="Times New Roman"/>
          <w:color w:val="000000"/>
          <w:szCs w:val="24"/>
        </w:rPr>
        <w:t xml:space="preserve"> </w:t>
      </w:r>
      <w:r w:rsidR="00A862C9">
        <w:rPr>
          <w:rFonts w:eastAsia="Times New Roman"/>
          <w:color w:val="000000"/>
          <w:szCs w:val="24"/>
        </w:rPr>
        <w:t xml:space="preserve">in </w:t>
      </w:r>
      <w:r w:rsidRPr="00D570A9">
        <w:rPr>
          <w:rFonts w:eastAsia="Times New Roman"/>
          <w:color w:val="000000"/>
          <w:szCs w:val="24"/>
        </w:rPr>
        <w:t>the University</w:t>
      </w:r>
      <w:r w:rsidR="00951C9A">
        <w:rPr>
          <w:rFonts w:eastAsia="Times New Roman"/>
          <w:color w:val="000000"/>
          <w:szCs w:val="24"/>
        </w:rPr>
        <w:t xml:space="preserve"> Learning Management System</w:t>
      </w:r>
      <w:r w:rsidRPr="00D570A9">
        <w:rPr>
          <w:rFonts w:eastAsia="Times New Roman"/>
          <w:color w:val="000000"/>
          <w:szCs w:val="24"/>
        </w:rPr>
        <w:t xml:space="preserve"> </w:t>
      </w:r>
      <w:r w:rsidR="00951C9A">
        <w:rPr>
          <w:rFonts w:eastAsia="Times New Roman"/>
          <w:color w:val="000000"/>
          <w:szCs w:val="24"/>
        </w:rPr>
        <w:t>(</w:t>
      </w:r>
      <w:r w:rsidRPr="00D570A9">
        <w:rPr>
          <w:rFonts w:eastAsia="Times New Roman"/>
          <w:color w:val="000000"/>
          <w:szCs w:val="24"/>
        </w:rPr>
        <w:t>LMS</w:t>
      </w:r>
      <w:r w:rsidR="00951C9A">
        <w:rPr>
          <w:rFonts w:eastAsia="Times New Roman"/>
          <w:color w:val="000000"/>
          <w:szCs w:val="24"/>
        </w:rPr>
        <w:t>)</w:t>
      </w:r>
      <w:r w:rsidRPr="00D570A9">
        <w:rPr>
          <w:rFonts w:eastAsia="Times New Roman"/>
          <w:color w:val="000000"/>
          <w:szCs w:val="24"/>
        </w:rPr>
        <w:t>, utilizing the PPI resources such as FE Review Manual</w:t>
      </w:r>
      <w:r w:rsidR="00A86590">
        <w:rPr>
          <w:rFonts w:eastAsia="Times New Roman"/>
          <w:color w:val="000000"/>
          <w:szCs w:val="24"/>
        </w:rPr>
        <w:t>s</w:t>
      </w:r>
      <w:r w:rsidRPr="00D570A9">
        <w:rPr>
          <w:rFonts w:eastAsia="Times New Roman"/>
          <w:color w:val="000000"/>
          <w:szCs w:val="24"/>
        </w:rPr>
        <w:t xml:space="preserve"> </w:t>
      </w:r>
      <w:r w:rsidR="005B3B6D">
        <w:rPr>
          <w:rFonts w:eastAsia="Times New Roman"/>
          <w:color w:val="000000"/>
          <w:szCs w:val="24"/>
        </w:rPr>
        <w:t>[1]</w:t>
      </w:r>
      <w:r w:rsidR="00A86590">
        <w:rPr>
          <w:rFonts w:eastAsia="Times New Roman"/>
          <w:color w:val="000000"/>
          <w:szCs w:val="24"/>
        </w:rPr>
        <w:t xml:space="preserve"> [2]</w:t>
      </w:r>
      <w:r w:rsidR="00387CB8">
        <w:rPr>
          <w:rFonts w:eastAsia="Times New Roman"/>
          <w:color w:val="000000"/>
          <w:szCs w:val="24"/>
        </w:rPr>
        <w:t xml:space="preserve"> </w:t>
      </w:r>
      <w:r w:rsidRPr="00D570A9">
        <w:rPr>
          <w:rFonts w:eastAsia="Times New Roman"/>
          <w:color w:val="000000"/>
          <w:szCs w:val="24"/>
        </w:rPr>
        <w:t>and access to the practice problems and exams for students</w:t>
      </w:r>
      <w:r w:rsidR="00387CB8">
        <w:rPr>
          <w:rFonts w:eastAsia="Times New Roman"/>
          <w:color w:val="000000"/>
          <w:szCs w:val="24"/>
        </w:rPr>
        <w:t xml:space="preserve"> online</w:t>
      </w:r>
      <w:r w:rsidR="005B3B6D">
        <w:rPr>
          <w:rFonts w:eastAsia="Times New Roman"/>
          <w:color w:val="000000"/>
          <w:szCs w:val="24"/>
        </w:rPr>
        <w:t xml:space="preserve"> [</w:t>
      </w:r>
      <w:r w:rsidR="008035D1">
        <w:rPr>
          <w:rFonts w:eastAsia="Times New Roman"/>
          <w:color w:val="000000"/>
          <w:szCs w:val="24"/>
        </w:rPr>
        <w:t>3</w:t>
      </w:r>
      <w:r w:rsidR="005B3B6D">
        <w:rPr>
          <w:rFonts w:eastAsia="Times New Roman"/>
          <w:color w:val="000000"/>
          <w:szCs w:val="24"/>
        </w:rPr>
        <w:t>]</w:t>
      </w:r>
      <w:r w:rsidRPr="00D570A9">
        <w:rPr>
          <w:rFonts w:eastAsia="Times New Roman"/>
          <w:color w:val="000000"/>
          <w:szCs w:val="24"/>
        </w:rPr>
        <w:t xml:space="preserve">. FE results can assist in program improvement efforts and these credentials provide many students advantages in the job market. </w:t>
      </w:r>
      <w:r w:rsidR="00A862C9">
        <w:rPr>
          <w:rFonts w:eastAsia="Times New Roman"/>
          <w:color w:val="000000"/>
          <w:szCs w:val="24"/>
        </w:rPr>
        <w:t>S</w:t>
      </w:r>
      <w:r w:rsidR="00A862C9" w:rsidRPr="00D570A9">
        <w:rPr>
          <w:rFonts w:eastAsia="Times New Roman"/>
          <w:color w:val="000000"/>
          <w:szCs w:val="24"/>
        </w:rPr>
        <w:t xml:space="preserve">upport </w:t>
      </w:r>
      <w:r w:rsidR="00A862C9">
        <w:rPr>
          <w:rFonts w:eastAsia="Times New Roman"/>
          <w:color w:val="000000"/>
          <w:szCs w:val="24"/>
        </w:rPr>
        <w:t xml:space="preserve">for </w:t>
      </w:r>
      <w:r w:rsidR="00A862C9" w:rsidRPr="00D570A9">
        <w:rPr>
          <w:rFonts w:eastAsia="Times New Roman"/>
          <w:color w:val="000000"/>
          <w:szCs w:val="24"/>
        </w:rPr>
        <w:t>baccalaureate graduates from ETAC/ABET accredited Engineering Technology programs to become Licensed Professional Engineers without additional requirements</w:t>
      </w:r>
      <w:r w:rsidR="00A862C9">
        <w:rPr>
          <w:rFonts w:eastAsia="Times New Roman"/>
          <w:color w:val="000000"/>
          <w:szCs w:val="24"/>
        </w:rPr>
        <w:t xml:space="preserve"> is evidenced by the </w:t>
      </w:r>
      <w:r w:rsidRPr="00D570A9">
        <w:rPr>
          <w:rFonts w:eastAsia="Times New Roman"/>
          <w:color w:val="000000"/>
          <w:szCs w:val="24"/>
        </w:rPr>
        <w:t>2020 ASEE Position Statement on Professional Licensure of Baccalaureate ETAC/ABET Graduates</w:t>
      </w:r>
      <w:r w:rsidR="00A862C9">
        <w:rPr>
          <w:rFonts w:eastAsia="Times New Roman"/>
          <w:color w:val="000000"/>
          <w:szCs w:val="24"/>
        </w:rPr>
        <w:t>.</w:t>
      </w:r>
    </w:p>
    <w:p w:rsidR="00A332E0" w:rsidRDefault="00D570A9" w:rsidP="00263E48">
      <w:pPr>
        <w:suppressAutoHyphens w:val="0"/>
        <w:spacing w:after="0" w:line="240" w:lineRule="auto"/>
        <w:rPr>
          <w:rFonts w:eastAsia="Times New Roman"/>
          <w:color w:val="000000"/>
          <w:szCs w:val="24"/>
        </w:rPr>
      </w:pPr>
      <w:r w:rsidRPr="00D570A9">
        <w:rPr>
          <w:rFonts w:eastAsia="Times New Roman"/>
          <w:color w:val="000000"/>
          <w:szCs w:val="24"/>
        </w:rPr>
        <w:t xml:space="preserve"> </w:t>
      </w:r>
    </w:p>
    <w:p w:rsidR="00A332E0" w:rsidRDefault="00B70A32" w:rsidP="00263E48">
      <w:pPr>
        <w:pBdr>
          <w:top w:val="nil"/>
          <w:left w:val="nil"/>
          <w:bottom w:val="nil"/>
          <w:right w:val="nil"/>
          <w:between w:val="nil"/>
        </w:pBdr>
        <w:spacing w:after="0" w:line="240" w:lineRule="auto"/>
        <w:rPr>
          <w:rFonts w:eastAsia="Times New Roman"/>
          <w:b/>
          <w:color w:val="000000"/>
          <w:szCs w:val="24"/>
        </w:rPr>
      </w:pPr>
      <w:r>
        <w:rPr>
          <w:rFonts w:eastAsia="Times New Roman"/>
          <w:b/>
          <w:color w:val="000000"/>
          <w:szCs w:val="24"/>
        </w:rPr>
        <w:t>Introduction</w:t>
      </w:r>
    </w:p>
    <w:p w:rsidR="00263E48" w:rsidRDefault="00263E48" w:rsidP="00263E48">
      <w:pPr>
        <w:spacing w:after="0" w:line="240" w:lineRule="auto"/>
      </w:pPr>
    </w:p>
    <w:p w:rsidR="00475F93" w:rsidRDefault="00B70A32" w:rsidP="00263E48">
      <w:pPr>
        <w:spacing w:after="0" w:line="240" w:lineRule="auto"/>
      </w:pPr>
      <w:r>
        <w:t xml:space="preserve">In </w:t>
      </w:r>
      <w:r w:rsidR="00B4725F">
        <w:t xml:space="preserve">the Department of </w:t>
      </w:r>
      <w:r w:rsidR="00475F93">
        <w:t xml:space="preserve">Manufacturing and Mechanical Engineering Technology (MMET) at </w:t>
      </w:r>
      <w:r w:rsidR="008C39F0">
        <w:t>Michigan Technological</w:t>
      </w:r>
      <w:r w:rsidR="00475F93">
        <w:t xml:space="preserve"> University (</w:t>
      </w:r>
      <w:r w:rsidR="008C39F0">
        <w:t>Michigan Tech</w:t>
      </w:r>
      <w:r w:rsidR="00475F93">
        <w:t xml:space="preserve">), there is </w:t>
      </w:r>
      <w:r w:rsidR="00CD723E">
        <w:t xml:space="preserve">a </w:t>
      </w:r>
      <w:r w:rsidR="00475F93">
        <w:t xml:space="preserve">BS Mechanical Engineering </w:t>
      </w:r>
      <w:r w:rsidR="00475F93">
        <w:lastRenderedPageBreak/>
        <w:t>Technology (MET) degree. This degree enrollment has fluctuated from 75 to 169 students in the years that span this study (see Figure 1).</w:t>
      </w:r>
    </w:p>
    <w:p w:rsidR="00263E48" w:rsidRDefault="00263E48" w:rsidP="00263E48">
      <w:pPr>
        <w:spacing w:after="0" w:line="240" w:lineRule="auto"/>
      </w:pPr>
    </w:p>
    <w:p w:rsidR="00A332E0" w:rsidRDefault="00475F93" w:rsidP="00263E48">
      <w:pPr>
        <w:spacing w:after="0" w:line="240" w:lineRule="auto"/>
        <w:jc w:val="center"/>
      </w:pPr>
      <w:r w:rsidRPr="00475F93">
        <w:rPr>
          <w:noProof/>
          <w:lang w:eastAsia="en-US"/>
        </w:rPr>
        <w:drawing>
          <wp:inline distT="0" distB="0" distL="0" distR="0" wp14:anchorId="687BE139" wp14:editId="1572DF3E">
            <wp:extent cx="4584589" cy="2755631"/>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84589" cy="2755631"/>
                    </a:xfrm>
                    <a:prstGeom prst="rect">
                      <a:avLst/>
                    </a:prstGeom>
                  </pic:spPr>
                </pic:pic>
              </a:graphicData>
            </a:graphic>
          </wp:inline>
        </w:drawing>
      </w:r>
    </w:p>
    <w:p w:rsidR="00475F93" w:rsidRPr="00B25DFF" w:rsidRDefault="00475F93" w:rsidP="00263E48">
      <w:pPr>
        <w:spacing w:after="0" w:line="240" w:lineRule="auto"/>
        <w:jc w:val="center"/>
      </w:pPr>
      <w:r w:rsidRPr="00B25DFF">
        <w:t>Figure 1 – MET Enrollment 2012-2020</w:t>
      </w:r>
    </w:p>
    <w:p w:rsidR="00263E48" w:rsidRDefault="00263E48" w:rsidP="00263E48">
      <w:pPr>
        <w:spacing w:after="0" w:line="240" w:lineRule="auto"/>
      </w:pPr>
    </w:p>
    <w:p w:rsidR="00475F93" w:rsidRDefault="008700F2" w:rsidP="00263E48">
      <w:pPr>
        <w:spacing w:after="0" w:line="240" w:lineRule="auto"/>
      </w:pPr>
      <w:r>
        <w:t>The exit exam</w:t>
      </w:r>
      <w:r w:rsidR="009E49D8">
        <w:t xml:space="preserve"> </w:t>
      </w:r>
      <w:r>
        <w:t xml:space="preserve">for program assessment accreditation purposes </w:t>
      </w:r>
      <w:r w:rsidR="0074481F">
        <w:t>f</w:t>
      </w:r>
      <w:r>
        <w:t xml:space="preserve">rom 2013-2020 </w:t>
      </w:r>
      <w:r w:rsidR="00736A7A">
        <w:t>i</w:t>
      </w:r>
      <w:r>
        <w:t xml:space="preserve">s the </w:t>
      </w:r>
      <w:r w:rsidR="0012790F" w:rsidRPr="00D2624B">
        <w:rPr>
          <w:rFonts w:eastAsia="Times New Roman"/>
          <w:color w:val="000000"/>
          <w:szCs w:val="24"/>
        </w:rPr>
        <w:t>National Council of Examiners for Engineering and Surveying (NCEES)</w:t>
      </w:r>
      <w:r>
        <w:t xml:space="preserve"> </w:t>
      </w:r>
      <w:r w:rsidR="0012790F" w:rsidRPr="00D2624B">
        <w:rPr>
          <w:rFonts w:eastAsia="Times New Roman"/>
          <w:color w:val="000000"/>
          <w:szCs w:val="24"/>
        </w:rPr>
        <w:t>Fundamentals of Engineering (FE) Mechanical exam, also referred to as the Engineer in Training (EIT) exam</w:t>
      </w:r>
      <w:r>
        <w:t>.</w:t>
      </w:r>
      <w:r w:rsidR="00E25C87">
        <w:t xml:space="preserve"> </w:t>
      </w:r>
      <w:r w:rsidR="005623B2">
        <w:fldChar w:fldCharType="begin"/>
      </w:r>
      <w:r w:rsidR="005623B2">
        <w:instrText xml:space="preserve"> ADDIN EN.CITE &lt;EndNote&gt;&lt;Cite&gt;&lt;RecNum&gt;0&lt;/RecNum&gt;&lt;/Cite&gt;&lt;/EndNote&gt;</w:instrText>
      </w:r>
      <w:r w:rsidR="005623B2">
        <w:fldChar w:fldCharType="end"/>
      </w:r>
      <w:r w:rsidR="004D7CC3">
        <w:t xml:space="preserve">The exam is given to students during the fall or spring prior to their graduation. </w:t>
      </w:r>
      <w:r w:rsidR="00D570A9">
        <w:t>S</w:t>
      </w:r>
      <w:r w:rsidR="004D7CC3">
        <w:t xml:space="preserve">tudents enroll in a required Professional Practice Seminar course used to prepare and </w:t>
      </w:r>
      <w:r w:rsidR="0002524B">
        <w:t>provide</w:t>
      </w:r>
      <w:r w:rsidR="004D7CC3">
        <w:t xml:space="preserve"> practice sample problems similar to those on the exams. This course has a pass/fail grad</w:t>
      </w:r>
      <w:r w:rsidR="0002524B">
        <w:t>ing system</w:t>
      </w:r>
      <w:r w:rsidR="004D7CC3">
        <w:t xml:space="preserve"> with the grading criteria based on </w:t>
      </w:r>
      <w:r w:rsidR="00971F1E">
        <w:t>25</w:t>
      </w:r>
      <w:r w:rsidR="004D7CC3">
        <w:t xml:space="preserve">% </w:t>
      </w:r>
      <w:r w:rsidR="0002524B">
        <w:t xml:space="preserve">for </w:t>
      </w:r>
      <w:r w:rsidR="004D7CC3">
        <w:t>attendance</w:t>
      </w:r>
      <w:r w:rsidR="00971F1E">
        <w:t>, 25% for in class quizzes, and</w:t>
      </w:r>
      <w:r w:rsidR="004D7CC3">
        <w:t xml:space="preserve"> </w:t>
      </w:r>
      <w:r w:rsidR="0002524B">
        <w:t xml:space="preserve">the remaining </w:t>
      </w:r>
      <w:r w:rsidR="004D7CC3">
        <w:t xml:space="preserve">50% </w:t>
      </w:r>
      <w:r w:rsidR="0002524B">
        <w:t xml:space="preserve">on </w:t>
      </w:r>
      <w:r w:rsidR="004D7CC3">
        <w:t xml:space="preserve">the exam score. Students must achieve at least 70% to pass the course. Students have the option to either retake the exam or redo </w:t>
      </w:r>
      <w:r w:rsidR="00971F1E">
        <w:t>quizzes</w:t>
      </w:r>
      <w:r w:rsidR="004D7CC3">
        <w:t xml:space="preserve"> to raise their score above the passing level.</w:t>
      </w:r>
      <w:r w:rsidR="00971F1E">
        <w:t xml:space="preserve"> The quizzes are </w:t>
      </w:r>
      <w:r w:rsidR="00B34DDC">
        <w:t xml:space="preserve">FE practice questions </w:t>
      </w:r>
      <w:r w:rsidR="003D66BC">
        <w:t>completed online</w:t>
      </w:r>
      <w:r w:rsidR="00B34DDC">
        <w:t xml:space="preserve"> in a computer lab with the use of the electronic FE Reference Handbook</w:t>
      </w:r>
      <w:r w:rsidR="007E6A4B">
        <w:t xml:space="preserve"> </w:t>
      </w:r>
      <w:r w:rsidR="00D71F78">
        <w:t>[</w:t>
      </w:r>
      <w:r w:rsidR="008035D1">
        <w:t>4</w:t>
      </w:r>
      <w:r w:rsidR="00D71F78">
        <w:t>]</w:t>
      </w:r>
      <w:r w:rsidR="00B34DDC">
        <w:t xml:space="preserve"> as the only reference material. This is done </w:t>
      </w:r>
      <w:r w:rsidR="0074481F">
        <w:t>to provide students practice</w:t>
      </w:r>
      <w:r w:rsidR="00B34DDC">
        <w:t xml:space="preserve"> using the</w:t>
      </w:r>
      <w:r w:rsidR="00D602E6">
        <w:t xml:space="preserve"> FE</w:t>
      </w:r>
      <w:r w:rsidR="00B34DDC">
        <w:t xml:space="preserve"> Reference Handbook which is their only reference material during the FE Exam.</w:t>
      </w:r>
    </w:p>
    <w:p w:rsidR="0002524B" w:rsidRDefault="0002524B" w:rsidP="00263E48">
      <w:pPr>
        <w:spacing w:after="0" w:line="240" w:lineRule="auto"/>
      </w:pPr>
      <w:r>
        <w:t>This study investigate</w:t>
      </w:r>
      <w:r w:rsidR="00F408BF">
        <w:t>s</w:t>
      </w:r>
      <w:r>
        <w:t xml:space="preserve"> the data from exit exams to determine what factors influence student performance. Also, </w:t>
      </w:r>
      <w:r w:rsidR="00CD723E">
        <w:t xml:space="preserve">it will be explained how </w:t>
      </w:r>
      <w:r w:rsidR="00D570A9">
        <w:t xml:space="preserve">the methods of delivery of the Professional Practice Seminar </w:t>
      </w:r>
      <w:r w:rsidR="007E6A4B">
        <w:t xml:space="preserve">course </w:t>
      </w:r>
      <w:r w:rsidR="00777371">
        <w:t>are</w:t>
      </w:r>
      <w:r w:rsidR="00D570A9">
        <w:t xml:space="preserve"> related to student success on the FE exam</w:t>
      </w:r>
      <w:r w:rsidR="00D0759B">
        <w:t>.</w:t>
      </w:r>
    </w:p>
    <w:p w:rsidR="00D71F78" w:rsidRDefault="00D71F78" w:rsidP="00263E48">
      <w:pPr>
        <w:spacing w:after="0" w:line="240" w:lineRule="auto"/>
      </w:pPr>
    </w:p>
    <w:p w:rsidR="00A332E0" w:rsidRDefault="00B70A32" w:rsidP="00263E48">
      <w:pPr>
        <w:widowControl w:val="0"/>
        <w:pBdr>
          <w:top w:val="nil"/>
          <w:left w:val="nil"/>
          <w:bottom w:val="nil"/>
          <w:right w:val="nil"/>
          <w:between w:val="nil"/>
        </w:pBdr>
        <w:spacing w:after="0" w:line="240" w:lineRule="auto"/>
        <w:rPr>
          <w:rFonts w:eastAsia="Times New Roman"/>
          <w:b/>
          <w:color w:val="000000"/>
          <w:szCs w:val="24"/>
        </w:rPr>
      </w:pPr>
      <w:r>
        <w:rPr>
          <w:rFonts w:eastAsia="Times New Roman"/>
          <w:b/>
          <w:color w:val="000000"/>
          <w:szCs w:val="24"/>
        </w:rPr>
        <w:t>Background</w:t>
      </w:r>
    </w:p>
    <w:p w:rsidR="00B25DFF" w:rsidRDefault="00B25DFF" w:rsidP="00263E48">
      <w:pPr>
        <w:spacing w:after="0" w:line="240" w:lineRule="auto"/>
      </w:pPr>
    </w:p>
    <w:p w:rsidR="009B228F" w:rsidRDefault="006C494E" w:rsidP="00263E48">
      <w:pPr>
        <w:spacing w:after="0" w:line="240" w:lineRule="auto"/>
      </w:pPr>
      <w:r>
        <w:t>E</w:t>
      </w:r>
      <w:r w:rsidR="008C3791">
        <w:t xml:space="preserve">xit exam data is widely used as a direct measure </w:t>
      </w:r>
      <w:r>
        <w:t>for</w:t>
      </w:r>
      <w:r w:rsidR="008C3791">
        <w:t xml:space="preserve"> program assessment</w:t>
      </w:r>
      <w:r>
        <w:t xml:space="preserve"> purposes</w:t>
      </w:r>
      <w:r w:rsidR="008C3791">
        <w:t xml:space="preserve">. </w:t>
      </w:r>
      <w:r w:rsidR="00380A0B">
        <w:t>Both ABET (Criterion 4. Continuous Improvement) and ATMAE (7.19 Outcome Measures Used to Improve Program) require that programs have a continuous improvement plan that is documented and that data supports decision making.</w:t>
      </w:r>
      <w:r w:rsidR="00B467B7">
        <w:t xml:space="preserve"> </w:t>
      </w:r>
      <w:r w:rsidR="0074481F">
        <w:t xml:space="preserve">Also, </w:t>
      </w:r>
      <w:r w:rsidR="00486D39" w:rsidRPr="00486D39">
        <w:t xml:space="preserve">the first step </w:t>
      </w:r>
      <w:r w:rsidR="00F408BF" w:rsidRPr="00486D39">
        <w:t xml:space="preserve">for graduates from an undergraduate engineering or engineering technology degree from an EAC or ETAC/ABET accredited program </w:t>
      </w:r>
      <w:r w:rsidR="00486D39" w:rsidRPr="00486D39">
        <w:lastRenderedPageBreak/>
        <w:t xml:space="preserve">in the process to becoming a professional licensed engineer (P.E.) </w:t>
      </w:r>
      <w:r w:rsidR="00F408BF">
        <w:t>is t</w:t>
      </w:r>
      <w:r w:rsidR="00F408BF" w:rsidRPr="00486D39">
        <w:t>he FE exam</w:t>
      </w:r>
      <w:r w:rsidR="00486D39" w:rsidRPr="00486D39">
        <w:t>.</w:t>
      </w:r>
      <w:r w:rsidR="00486D39">
        <w:t xml:space="preserve"> </w:t>
      </w:r>
      <w:r w:rsidR="00991DA4">
        <w:t>T</w:t>
      </w:r>
      <w:r w:rsidR="007F2E77" w:rsidRPr="007F2E77">
        <w:t xml:space="preserve">he </w:t>
      </w:r>
      <w:r w:rsidR="00991DA4">
        <w:t>decision</w:t>
      </w:r>
      <w:r w:rsidR="007F2E77" w:rsidRPr="007F2E77">
        <w:t xml:space="preserve"> to </w:t>
      </w:r>
      <w:r w:rsidR="007F2E77">
        <w:t>us</w:t>
      </w:r>
      <w:r w:rsidR="00991DA4">
        <w:t>e</w:t>
      </w:r>
      <w:r w:rsidR="007F2E77" w:rsidRPr="007F2E77">
        <w:t xml:space="preserve"> the FE exam was made in 2013</w:t>
      </w:r>
      <w:r w:rsidR="007F2E77">
        <w:t xml:space="preserve"> to </w:t>
      </w:r>
      <w:r w:rsidR="009C39E8">
        <w:t>provide</w:t>
      </w:r>
      <w:r w:rsidR="007F2E77">
        <w:t xml:space="preserve"> </w:t>
      </w:r>
      <w:r w:rsidR="00D0759B">
        <w:t>an increased</w:t>
      </w:r>
      <w:r w:rsidR="007F2E77">
        <w:t xml:space="preserve"> emphasis on engineering fundamentals</w:t>
      </w:r>
      <w:r w:rsidR="00D0759B">
        <w:t xml:space="preserve"> in response to the</w:t>
      </w:r>
      <w:r w:rsidR="00486D39">
        <w:t xml:space="preserve"> ASME Vision 2030 Recommendations for Mechanical Engineering Education</w:t>
      </w:r>
      <w:r w:rsidR="007E6A4B" w:rsidRPr="007E6A4B">
        <w:t xml:space="preserve"> </w:t>
      </w:r>
      <w:r w:rsidR="00D71F78">
        <w:t>[</w:t>
      </w:r>
      <w:r w:rsidR="008035D1">
        <w:t>5</w:t>
      </w:r>
      <w:r w:rsidR="00D71F78">
        <w:t>]</w:t>
      </w:r>
      <w:r w:rsidR="00991DA4">
        <w:t>, and</w:t>
      </w:r>
      <w:r w:rsidR="009C39E8">
        <w:t xml:space="preserve"> </w:t>
      </w:r>
      <w:r w:rsidR="007F2E77">
        <w:t xml:space="preserve">was </w:t>
      </w:r>
      <w:r w:rsidR="009C39E8">
        <w:t xml:space="preserve">also </w:t>
      </w:r>
      <w:r w:rsidR="007F2E77">
        <w:t>expressed</w:t>
      </w:r>
      <w:r w:rsidR="009C39E8">
        <w:t xml:space="preserve"> as a need </w:t>
      </w:r>
      <w:r w:rsidR="007F2E77">
        <w:t xml:space="preserve">by </w:t>
      </w:r>
      <w:r w:rsidR="007E6A4B">
        <w:t xml:space="preserve">MET program </w:t>
      </w:r>
      <w:r w:rsidR="009C39E8">
        <w:t>employers</w:t>
      </w:r>
      <w:r w:rsidR="007F2E77">
        <w:t xml:space="preserve"> and alumni</w:t>
      </w:r>
      <w:r w:rsidR="009C39E8">
        <w:t>.</w:t>
      </w:r>
      <w:r w:rsidR="00F27C82">
        <w:t xml:space="preserve"> Michigan is among </w:t>
      </w:r>
      <w:r w:rsidR="00E63F7F">
        <w:t>the 18</w:t>
      </w:r>
      <w:r w:rsidR="00F27C82">
        <w:t xml:space="preserve"> most restrictive </w:t>
      </w:r>
      <w:r w:rsidR="00FE2F46">
        <w:t>s</w:t>
      </w:r>
      <w:r w:rsidR="00F27C82">
        <w:t>tates that prohibit ETAC</w:t>
      </w:r>
      <w:r w:rsidR="00E63F7F">
        <w:t>/ABET</w:t>
      </w:r>
      <w:r w:rsidR="00F27C82">
        <w:t xml:space="preserve"> </w:t>
      </w:r>
      <w:r w:rsidR="00E63F7F">
        <w:t>accredited MET</w:t>
      </w:r>
      <w:r w:rsidR="00F27C82">
        <w:t xml:space="preserve"> graduates</w:t>
      </w:r>
      <w:r w:rsidR="00E63F7F">
        <w:t xml:space="preserve"> </w:t>
      </w:r>
      <w:r w:rsidR="00FE2F46">
        <w:t xml:space="preserve">to </w:t>
      </w:r>
      <w:r w:rsidR="00E63F7F">
        <w:t xml:space="preserve">receive professional licensure, although 33 states are less restrictive with 12 </w:t>
      </w:r>
      <w:r w:rsidR="009134EC">
        <w:t>of those</w:t>
      </w:r>
      <w:r w:rsidR="00E63F7F">
        <w:t xml:space="preserve"> requiring no additional requirements </w:t>
      </w:r>
      <w:r w:rsidR="009134EC">
        <w:t>for</w:t>
      </w:r>
      <w:r w:rsidR="00E63F7F">
        <w:t xml:space="preserve"> </w:t>
      </w:r>
      <w:r w:rsidR="00FE2F46">
        <w:t>ME</w:t>
      </w:r>
      <w:r w:rsidR="00E63F7F">
        <w:t xml:space="preserve">T graduates. </w:t>
      </w:r>
    </w:p>
    <w:p w:rsidR="00263E48" w:rsidRDefault="00263E48" w:rsidP="00263E48">
      <w:pPr>
        <w:spacing w:after="0" w:line="240" w:lineRule="auto"/>
      </w:pPr>
    </w:p>
    <w:p w:rsidR="006835F8" w:rsidRDefault="006835F8" w:rsidP="00263E48">
      <w:pPr>
        <w:spacing w:after="0" w:line="240" w:lineRule="auto"/>
      </w:pPr>
      <w:r>
        <w:t xml:space="preserve">The </w:t>
      </w:r>
      <w:r w:rsidR="009F7903">
        <w:t>purpose</w:t>
      </w:r>
      <w:r>
        <w:t xml:space="preserve"> </w:t>
      </w:r>
      <w:r w:rsidR="00FE2F46">
        <w:t>for</w:t>
      </w:r>
      <w:r>
        <w:t xml:space="preserve"> this study </w:t>
      </w:r>
      <w:r w:rsidR="009134EC">
        <w:t>relates</w:t>
      </w:r>
      <w:r>
        <w:t xml:space="preserve"> to how a person perceives the value of obtaining </w:t>
      </w:r>
      <w:r w:rsidR="00F74A39">
        <w:t>professional certifications</w:t>
      </w:r>
      <w:r w:rsidR="004F1A9D">
        <w:t xml:space="preserve">. </w:t>
      </w:r>
      <w:r w:rsidR="00E63F7F">
        <w:t>T</w:t>
      </w:r>
      <w:r w:rsidR="00347C4C">
        <w:t xml:space="preserve">he </w:t>
      </w:r>
      <w:r w:rsidR="00784F73">
        <w:t>P.E. designation</w:t>
      </w:r>
      <w:r>
        <w:t xml:space="preserve"> </w:t>
      </w:r>
      <w:r w:rsidR="00784F73">
        <w:t>is required for engineers</w:t>
      </w:r>
      <w:r>
        <w:t xml:space="preserve"> pursuing</w:t>
      </w:r>
      <w:r w:rsidRPr="006835F8">
        <w:t xml:space="preserve"> a career </w:t>
      </w:r>
      <w:r w:rsidR="00784F73">
        <w:t>as an independent consultant,</w:t>
      </w:r>
      <w:r w:rsidR="00784F73" w:rsidRPr="00784F73">
        <w:t xml:space="preserve"> owning an engineering firm</w:t>
      </w:r>
      <w:r w:rsidR="00784F73">
        <w:t xml:space="preserve">, </w:t>
      </w:r>
      <w:r w:rsidR="00CB4C09">
        <w:t xml:space="preserve">and employment as a </w:t>
      </w:r>
      <w:r w:rsidR="00784F73">
        <w:t>government engineer (</w:t>
      </w:r>
      <w:r w:rsidR="00784F73" w:rsidRPr="00784F73">
        <w:t>federal, state, and municipal agencies</w:t>
      </w:r>
      <w:r w:rsidR="00784F73">
        <w:t>). Also, in academia many states require that engineering faculty be licensed, or at least this is a preferred qualification. Another factor to consider in the preparation of engineering and engineering technology students for professional certification is th</w:t>
      </w:r>
      <w:r w:rsidR="00EC0666">
        <w:t>at</w:t>
      </w:r>
      <w:r w:rsidR="00EC0666" w:rsidRPr="00EC0666">
        <w:t xml:space="preserve"> on average, PEs tend to </w:t>
      </w:r>
      <w:r w:rsidR="00EC0666">
        <w:t>have higher salaries</w:t>
      </w:r>
      <w:r w:rsidR="00EC0666" w:rsidRPr="00EC0666">
        <w:t xml:space="preserve"> than their non-licensed counterparts</w:t>
      </w:r>
      <w:r w:rsidR="00EC0666">
        <w:t xml:space="preserve"> according to an American Society of Mechanical Engineers (ASME) 2017 salary [6] survey earning</w:t>
      </w:r>
      <w:r w:rsidR="00EC0666" w:rsidRPr="00EC0666">
        <w:t xml:space="preserve"> nearly $16,000 more than those </w:t>
      </w:r>
      <w:r w:rsidR="00EC0666">
        <w:t>without</w:t>
      </w:r>
      <w:r w:rsidR="00EC0666" w:rsidRPr="00EC0666">
        <w:t xml:space="preserve"> </w:t>
      </w:r>
      <w:r w:rsidR="00EC0666">
        <w:t>a</w:t>
      </w:r>
      <w:r w:rsidR="00EC0666" w:rsidRPr="00EC0666">
        <w:t xml:space="preserve"> PE license.</w:t>
      </w:r>
      <w:r w:rsidR="004F1A9D">
        <w:t xml:space="preserve"> The number of P</w:t>
      </w:r>
      <w:r w:rsidR="00F27C82">
        <w:t>E</w:t>
      </w:r>
      <w:r w:rsidR="004F1A9D">
        <w:t>s in the United States has been declining over the years</w:t>
      </w:r>
      <w:r w:rsidR="00E63F7F">
        <w:t xml:space="preserve">, which could put the safety, health and welfare of Americans at risk. Therefore, providing methods for preparation of students for taking the FE exam is important to include in </w:t>
      </w:r>
      <w:r w:rsidR="00AC1890">
        <w:t>any engineering program</w:t>
      </w:r>
      <w:r w:rsidR="00E63F7F">
        <w:t xml:space="preserve"> Professional Practice Seminar course.</w:t>
      </w:r>
      <w:r w:rsidR="00784F73">
        <w:t xml:space="preserve"> </w:t>
      </w:r>
    </w:p>
    <w:p w:rsidR="00263E48" w:rsidRDefault="00263E48" w:rsidP="00263E48">
      <w:pPr>
        <w:spacing w:after="0" w:line="240" w:lineRule="auto"/>
      </w:pPr>
    </w:p>
    <w:p w:rsidR="006C494E" w:rsidRDefault="009B228F" w:rsidP="00263E48">
      <w:pPr>
        <w:spacing w:after="0" w:line="240" w:lineRule="auto"/>
      </w:pPr>
      <w:r>
        <w:t xml:space="preserve">In a study by </w:t>
      </w:r>
      <w:r w:rsidRPr="009B228F">
        <w:t xml:space="preserve">Koehn </w:t>
      </w:r>
      <w:r w:rsidR="00A261F3">
        <w:t>[</w:t>
      </w:r>
      <w:r w:rsidR="008035D1">
        <w:t>6</w:t>
      </w:r>
      <w:r w:rsidR="00A261F3">
        <w:t>]</w:t>
      </w:r>
      <w:r>
        <w:t>,</w:t>
      </w:r>
      <w:r w:rsidRPr="009B228F">
        <w:t xml:space="preserve"> find</w:t>
      </w:r>
      <w:r>
        <w:t>s</w:t>
      </w:r>
      <w:r w:rsidRPr="009B228F">
        <w:t xml:space="preserve"> that high pass rate on the </w:t>
      </w:r>
      <w:r>
        <w:t>FE are a result of</w:t>
      </w:r>
      <w:r w:rsidRPr="009B228F">
        <w:t xml:space="preserve"> well‐motivated students who complete a comprehensive review course</w:t>
      </w:r>
      <w:r>
        <w:t>.</w:t>
      </w:r>
      <w:r w:rsidRPr="009B228F">
        <w:t xml:space="preserve"> </w:t>
      </w:r>
      <w:r w:rsidR="00C40CFD">
        <w:t xml:space="preserve">Although, according to Watson </w:t>
      </w:r>
      <w:r w:rsidR="00A261F3">
        <w:t>[</w:t>
      </w:r>
      <w:r w:rsidR="008035D1">
        <w:t>7</w:t>
      </w:r>
      <w:r w:rsidR="00A261F3">
        <w:t>]</w:t>
      </w:r>
      <w:r w:rsidR="00C40CFD">
        <w:t xml:space="preserve"> </w:t>
      </w:r>
      <w:r w:rsidR="00C40CFD" w:rsidRPr="00C40CFD">
        <w:t xml:space="preserve">the overall value of </w:t>
      </w:r>
      <w:r>
        <w:t>the NCEES reporting of results</w:t>
      </w:r>
      <w:r w:rsidR="00C40CFD" w:rsidRPr="00C40CFD">
        <w:t xml:space="preserve"> is compromised by variable student motivation and the confidentiality of the questions used in the exam.</w:t>
      </w:r>
      <w:r>
        <w:t xml:space="preserve"> The results do not provide the questions that were correct or incorrect for each student taking the exam. Only the students that do not pass the exam receive a report showing percent of missed questions in each category.</w:t>
      </w:r>
    </w:p>
    <w:p w:rsidR="00B25DFF" w:rsidRDefault="00B25DFF" w:rsidP="00263E48">
      <w:pPr>
        <w:spacing w:after="0" w:line="240" w:lineRule="auto"/>
        <w:rPr>
          <w:b/>
          <w:color w:val="000000"/>
        </w:rPr>
      </w:pPr>
    </w:p>
    <w:p w:rsidR="00A332E0" w:rsidRDefault="00B70A32" w:rsidP="00263E48">
      <w:pPr>
        <w:spacing w:after="0" w:line="240" w:lineRule="auto"/>
        <w:rPr>
          <w:b/>
          <w:color w:val="000000"/>
        </w:rPr>
      </w:pPr>
      <w:r>
        <w:rPr>
          <w:b/>
          <w:color w:val="000000"/>
        </w:rPr>
        <w:t>Methodology</w:t>
      </w:r>
    </w:p>
    <w:p w:rsidR="00873A1F" w:rsidRDefault="00873A1F" w:rsidP="00263E48">
      <w:pPr>
        <w:spacing w:after="0" w:line="240" w:lineRule="auto"/>
      </w:pPr>
    </w:p>
    <w:p w:rsidR="0000464E" w:rsidRDefault="00873A1F" w:rsidP="00263E48">
      <w:pPr>
        <w:spacing w:after="0" w:line="240" w:lineRule="auto"/>
      </w:pPr>
      <w:r>
        <w:t xml:space="preserve">The subjects in this study are the Michigan Tech MET graduates that have taken the FE exam in the semesters from </w:t>
      </w:r>
      <w:proofErr w:type="gramStart"/>
      <w:r>
        <w:t>Fall</w:t>
      </w:r>
      <w:proofErr w:type="gramEnd"/>
      <w:r>
        <w:t xml:space="preserve"> 2013 through Fall 2019. This is a total of 136 senior students that took this exam in their final semester of the ETAC/ABET accredited program.  </w:t>
      </w:r>
      <w:r w:rsidR="00B70A32">
        <w:t xml:space="preserve">The </w:t>
      </w:r>
      <w:r w:rsidR="00AC0DED">
        <w:t xml:space="preserve">FE </w:t>
      </w:r>
      <w:r w:rsidR="00C050D0">
        <w:t>exam</w:t>
      </w:r>
      <w:r w:rsidR="00AC0DED">
        <w:t xml:space="preserve"> results are arranged by topical categories. The data from each category is correlated to individual courses using a matrix. Not every course in the curriculum is directly related to </w:t>
      </w:r>
      <w:r w:rsidR="00991DA4">
        <w:t>the FE</w:t>
      </w:r>
      <w:r w:rsidR="00AC0DED">
        <w:t xml:space="preserve"> exam, but many of the MET student outcomes are </w:t>
      </w:r>
      <w:r w:rsidR="00991DA4">
        <w:t>included</w:t>
      </w:r>
      <w:r w:rsidR="00AC0DED">
        <w:t>.</w:t>
      </w:r>
      <w:r w:rsidR="00263E48">
        <w:t xml:space="preserve"> </w:t>
      </w:r>
      <w:r w:rsidR="0000464E">
        <w:t>The NCEES supplies a report that can be used for assessment purposes that compares the level of attainment of each category in the test to the other ETAC students that have completed the exam that year.</w:t>
      </w:r>
      <w:r w:rsidR="0002503B">
        <w:t xml:space="preserve"> As explained by</w:t>
      </w:r>
      <w:r w:rsidR="0002503B" w:rsidRPr="0002503B">
        <w:t xml:space="preserve"> </w:t>
      </w:r>
      <w:proofErr w:type="spellStart"/>
      <w:r w:rsidR="0002503B" w:rsidRPr="0002503B">
        <w:t>Nirmalakhandan</w:t>
      </w:r>
      <w:proofErr w:type="spellEnd"/>
      <w:r w:rsidR="0002503B">
        <w:t xml:space="preserve"> et al. </w:t>
      </w:r>
      <w:r w:rsidR="00C673FF">
        <w:t>[</w:t>
      </w:r>
      <w:r w:rsidR="008035D1">
        <w:t>8</w:t>
      </w:r>
      <w:r w:rsidR="00C673FF">
        <w:t>]</w:t>
      </w:r>
      <w:r w:rsidR="0002503B">
        <w:t>, t</w:t>
      </w:r>
      <w:r w:rsidR="0000464E">
        <w:t xml:space="preserve">he student’s score is converted to a scaled score, which adjusts for any minor differences in difficulty across the different exam forms. This scaled score represents a student’s ability level and is compared to the minimum ability level for that exam, which has been determined by subject-matter experts through psychometric statistical methods. NCEES does not publish the passing score. The exam is electronically scored and results are transmitted in </w:t>
      </w:r>
      <w:r w:rsidR="00486D39">
        <w:t>15 categories</w:t>
      </w:r>
      <w:r w:rsidR="001C0C80">
        <w:t xml:space="preserve"> in a report from NCEES</w:t>
      </w:r>
      <w:r w:rsidR="004D4666">
        <w:t>.</w:t>
      </w:r>
    </w:p>
    <w:p w:rsidR="0000464E" w:rsidRDefault="0000464E" w:rsidP="00263E48">
      <w:pPr>
        <w:spacing w:after="0" w:line="240" w:lineRule="auto"/>
      </w:pPr>
      <w:r>
        <w:lastRenderedPageBreak/>
        <w:t xml:space="preserve">1   Mathematics </w:t>
      </w:r>
    </w:p>
    <w:p w:rsidR="0000464E" w:rsidRDefault="0000464E" w:rsidP="00263E48">
      <w:pPr>
        <w:spacing w:after="0" w:line="240" w:lineRule="auto"/>
      </w:pPr>
      <w:r>
        <w:t xml:space="preserve">2   Probability and Statistics </w:t>
      </w:r>
    </w:p>
    <w:p w:rsidR="0000464E" w:rsidRDefault="0000464E" w:rsidP="00263E48">
      <w:pPr>
        <w:spacing w:after="0" w:line="240" w:lineRule="auto"/>
      </w:pPr>
      <w:r>
        <w:t xml:space="preserve">3   Computational Tools </w:t>
      </w:r>
    </w:p>
    <w:p w:rsidR="0000464E" w:rsidRDefault="0000464E" w:rsidP="00263E48">
      <w:pPr>
        <w:spacing w:after="0" w:line="240" w:lineRule="auto"/>
      </w:pPr>
      <w:r>
        <w:t xml:space="preserve">4   Ethics and Professional Practice </w:t>
      </w:r>
    </w:p>
    <w:p w:rsidR="0000464E" w:rsidRDefault="0000464E" w:rsidP="00263E48">
      <w:pPr>
        <w:spacing w:after="0" w:line="240" w:lineRule="auto"/>
      </w:pPr>
      <w:r>
        <w:t xml:space="preserve">5   Engineering Economics </w:t>
      </w:r>
    </w:p>
    <w:p w:rsidR="0000464E" w:rsidRDefault="0000464E" w:rsidP="00263E48">
      <w:pPr>
        <w:spacing w:after="0" w:line="240" w:lineRule="auto"/>
      </w:pPr>
      <w:r>
        <w:t xml:space="preserve">6   Electricity and Magnetism </w:t>
      </w:r>
    </w:p>
    <w:p w:rsidR="0000464E" w:rsidRDefault="0000464E" w:rsidP="00263E48">
      <w:pPr>
        <w:spacing w:after="0" w:line="240" w:lineRule="auto"/>
      </w:pPr>
      <w:r>
        <w:t xml:space="preserve">7   Statics </w:t>
      </w:r>
    </w:p>
    <w:p w:rsidR="0000464E" w:rsidRDefault="0000464E" w:rsidP="00263E48">
      <w:pPr>
        <w:spacing w:after="0" w:line="240" w:lineRule="auto"/>
      </w:pPr>
      <w:r>
        <w:t xml:space="preserve">8   Dynamics, Kinematics, and Vibrations </w:t>
      </w:r>
    </w:p>
    <w:p w:rsidR="0000464E" w:rsidRDefault="0000464E" w:rsidP="00263E48">
      <w:pPr>
        <w:spacing w:after="0" w:line="240" w:lineRule="auto"/>
      </w:pPr>
      <w:r>
        <w:t xml:space="preserve">9   Mechanics of Materials </w:t>
      </w:r>
    </w:p>
    <w:p w:rsidR="0000464E" w:rsidRDefault="0000464E" w:rsidP="00263E48">
      <w:pPr>
        <w:spacing w:after="0" w:line="240" w:lineRule="auto"/>
      </w:pPr>
      <w:r>
        <w:t xml:space="preserve">10 Material Properties and Processing </w:t>
      </w:r>
    </w:p>
    <w:p w:rsidR="0000464E" w:rsidRDefault="0000464E" w:rsidP="00263E48">
      <w:pPr>
        <w:spacing w:after="0" w:line="240" w:lineRule="auto"/>
      </w:pPr>
      <w:r>
        <w:t xml:space="preserve">11 Fluid Mechanics </w:t>
      </w:r>
    </w:p>
    <w:p w:rsidR="0000464E" w:rsidRDefault="0000464E" w:rsidP="00263E48">
      <w:pPr>
        <w:spacing w:after="0" w:line="240" w:lineRule="auto"/>
      </w:pPr>
      <w:r>
        <w:t xml:space="preserve">12 Thermodynamics </w:t>
      </w:r>
    </w:p>
    <w:p w:rsidR="0000464E" w:rsidRDefault="0000464E" w:rsidP="00263E48">
      <w:pPr>
        <w:spacing w:after="0" w:line="240" w:lineRule="auto"/>
      </w:pPr>
      <w:r>
        <w:t xml:space="preserve">13 Heat Transfer </w:t>
      </w:r>
    </w:p>
    <w:p w:rsidR="0000464E" w:rsidRDefault="0000464E" w:rsidP="00263E48">
      <w:pPr>
        <w:spacing w:after="0" w:line="240" w:lineRule="auto"/>
      </w:pPr>
      <w:r>
        <w:t xml:space="preserve">14 Measurements, Instrumentation, and Controls </w:t>
      </w:r>
    </w:p>
    <w:p w:rsidR="0000464E" w:rsidRDefault="0000464E" w:rsidP="00263E48">
      <w:pPr>
        <w:spacing w:after="0" w:line="240" w:lineRule="auto"/>
      </w:pPr>
      <w:r>
        <w:t xml:space="preserve">15 Mechanical Design and Analysis </w:t>
      </w:r>
    </w:p>
    <w:p w:rsidR="00B25DFF" w:rsidRDefault="00B25DFF" w:rsidP="00263E48">
      <w:pPr>
        <w:spacing w:after="0" w:line="240" w:lineRule="auto"/>
        <w:rPr>
          <w:b/>
        </w:rPr>
      </w:pPr>
    </w:p>
    <w:p w:rsidR="005A5A57" w:rsidRPr="00A82B41" w:rsidRDefault="00B70A32" w:rsidP="00263E48">
      <w:pPr>
        <w:spacing w:after="0" w:line="240" w:lineRule="auto"/>
      </w:pPr>
      <w:r>
        <w:rPr>
          <w:b/>
        </w:rPr>
        <w:t>Results</w:t>
      </w:r>
      <w:bookmarkStart w:id="0" w:name="_heading=h.gjdgxs" w:colFirst="0" w:colLast="0"/>
      <w:bookmarkStart w:id="1" w:name="_Hlk46839485"/>
      <w:bookmarkEnd w:id="0"/>
    </w:p>
    <w:bookmarkEnd w:id="1"/>
    <w:p w:rsidR="00B25DFF" w:rsidRDefault="00B25DFF" w:rsidP="00263E48">
      <w:pPr>
        <w:spacing w:after="0" w:line="240" w:lineRule="auto"/>
      </w:pPr>
    </w:p>
    <w:p w:rsidR="005F6749" w:rsidRDefault="001625C1" w:rsidP="00263E48">
      <w:pPr>
        <w:spacing w:after="0" w:line="240" w:lineRule="auto"/>
      </w:pPr>
      <w:r>
        <w:t>The target set by the MET faculty was that at least 70% of students pass the exam. This goal has not yet been met in any of the semesters, but the percent passed has been above the national average</w:t>
      </w:r>
      <w:r w:rsidR="008C39F0" w:rsidRPr="008C39F0">
        <w:t xml:space="preserve"> </w:t>
      </w:r>
      <w:r w:rsidR="008C39F0">
        <w:t>in most semesters</w:t>
      </w:r>
      <w:r>
        <w:t>. Also, in most all semesters the average ratio score is above the target of 1.00.</w:t>
      </w:r>
      <w:r w:rsidR="0074481F">
        <w:t xml:space="preserve"> It should be noted that the NCEES report for </w:t>
      </w:r>
      <w:r w:rsidR="001A407D">
        <w:t>recent</w:t>
      </w:r>
      <w:r w:rsidR="0074481F">
        <w:t xml:space="preserve"> years differ from the student reports provided by NCEES at the completion of the semester. The reason for these differences may be that when the student</w:t>
      </w:r>
      <w:r w:rsidR="001A407D">
        <w:t>s</w:t>
      </w:r>
      <w:r w:rsidR="0074481F">
        <w:t xml:space="preserve"> register for the FE they </w:t>
      </w:r>
      <w:r w:rsidR="001A407D">
        <w:t xml:space="preserve">may </w:t>
      </w:r>
      <w:r w:rsidR="0074481F">
        <w:t xml:space="preserve">incorrectly code that they </w:t>
      </w:r>
      <w:r w:rsidR="001A407D">
        <w:t>a</w:t>
      </w:r>
      <w:r w:rsidR="0074481F">
        <w:t>re EAC ME program student</w:t>
      </w:r>
      <w:r w:rsidR="001A407D">
        <w:t>s</w:t>
      </w:r>
      <w:r w:rsidR="0074481F">
        <w:t xml:space="preserve"> rather than an ETAC MET program student</w:t>
      </w:r>
      <w:r w:rsidR="001A407D">
        <w:t>s</w:t>
      </w:r>
      <w:r w:rsidR="0074481F">
        <w:t>.</w:t>
      </w:r>
    </w:p>
    <w:p w:rsidR="00A86590" w:rsidRDefault="00A86590" w:rsidP="00263E48">
      <w:pPr>
        <w:suppressAutoHyphens w:val="0"/>
        <w:spacing w:after="0" w:line="240" w:lineRule="auto"/>
      </w:pPr>
    </w:p>
    <w:p w:rsidR="00A86590" w:rsidRDefault="00A86590" w:rsidP="00263E48">
      <w:pPr>
        <w:suppressAutoHyphens w:val="0"/>
        <w:spacing w:after="0" w:line="240" w:lineRule="auto"/>
      </w:pPr>
    </w:p>
    <w:p w:rsidR="00A86590" w:rsidRDefault="00A86590" w:rsidP="00263E48">
      <w:pPr>
        <w:suppressAutoHyphens w:val="0"/>
        <w:spacing w:after="0" w:line="240" w:lineRule="auto"/>
      </w:pPr>
    </w:p>
    <w:p w:rsidR="00A86590" w:rsidRDefault="00A86590" w:rsidP="00263E48">
      <w:pPr>
        <w:suppressAutoHyphens w:val="0"/>
        <w:spacing w:after="0" w:line="240" w:lineRule="auto"/>
      </w:pPr>
      <w:r w:rsidRPr="00A86590">
        <w:t>Table 1 - MET NCEES FE exam results 2013-19</w:t>
      </w:r>
    </w:p>
    <w:tbl>
      <w:tblPr>
        <w:tblStyle w:val="TableGrid3"/>
        <w:tblW w:w="0" w:type="auto"/>
        <w:jc w:val="center"/>
        <w:tblLook w:val="04A0" w:firstRow="1" w:lastRow="0" w:firstColumn="1" w:lastColumn="0" w:noHBand="0" w:noVBand="1"/>
      </w:tblPr>
      <w:tblGrid>
        <w:gridCol w:w="2021"/>
        <w:gridCol w:w="404"/>
        <w:gridCol w:w="720"/>
        <w:gridCol w:w="992"/>
        <w:gridCol w:w="1258"/>
        <w:gridCol w:w="1530"/>
        <w:gridCol w:w="2425"/>
      </w:tblGrid>
      <w:tr w:rsidR="00915763" w:rsidRPr="00915763" w:rsidTr="00C759C6">
        <w:trPr>
          <w:jc w:val="center"/>
        </w:trPr>
        <w:tc>
          <w:tcPr>
            <w:tcW w:w="2021" w:type="dxa"/>
          </w:tcPr>
          <w:p w:rsidR="00915763" w:rsidRPr="00915763" w:rsidRDefault="00915763" w:rsidP="00263E48">
            <w:pPr>
              <w:suppressAutoHyphens w:val="0"/>
              <w:rPr>
                <w:rFonts w:eastAsiaTheme="minorHAnsi"/>
                <w:lang w:eastAsia="en-US"/>
              </w:rPr>
            </w:pPr>
            <w:r w:rsidRPr="00915763">
              <w:rPr>
                <w:rFonts w:eastAsiaTheme="minorHAnsi"/>
                <w:lang w:eastAsia="en-US"/>
              </w:rPr>
              <w:t>Semester/instructor</w:t>
            </w:r>
          </w:p>
        </w:tc>
        <w:tc>
          <w:tcPr>
            <w:tcW w:w="1124" w:type="dxa"/>
            <w:gridSpan w:val="2"/>
          </w:tcPr>
          <w:p w:rsidR="00915763" w:rsidRPr="00915763" w:rsidRDefault="00915763" w:rsidP="00263E48">
            <w:pPr>
              <w:suppressAutoHyphens w:val="0"/>
              <w:rPr>
                <w:rFonts w:eastAsiaTheme="minorHAnsi"/>
                <w:lang w:eastAsia="en-US"/>
              </w:rPr>
            </w:pPr>
            <w:r w:rsidRPr="00915763">
              <w:rPr>
                <w:rFonts w:eastAsiaTheme="minorHAnsi"/>
                <w:lang w:eastAsia="en-US"/>
              </w:rPr>
              <w:t>Number students Passed</w:t>
            </w:r>
          </w:p>
        </w:tc>
        <w:tc>
          <w:tcPr>
            <w:tcW w:w="992" w:type="dxa"/>
          </w:tcPr>
          <w:p w:rsidR="00915763" w:rsidRPr="00915763" w:rsidRDefault="00915763" w:rsidP="00263E48">
            <w:pPr>
              <w:suppressAutoHyphens w:val="0"/>
              <w:rPr>
                <w:rFonts w:eastAsiaTheme="minorHAnsi"/>
                <w:lang w:eastAsia="en-US"/>
              </w:rPr>
            </w:pPr>
            <w:r w:rsidRPr="00915763">
              <w:rPr>
                <w:rFonts w:eastAsiaTheme="minorHAnsi"/>
                <w:lang w:eastAsia="en-US"/>
              </w:rPr>
              <w:t>Total students</w:t>
            </w:r>
          </w:p>
        </w:tc>
        <w:tc>
          <w:tcPr>
            <w:tcW w:w="1258" w:type="dxa"/>
          </w:tcPr>
          <w:p w:rsidR="00915763" w:rsidRPr="00915763" w:rsidRDefault="00915763" w:rsidP="00263E48">
            <w:pPr>
              <w:suppressAutoHyphens w:val="0"/>
              <w:rPr>
                <w:rFonts w:eastAsiaTheme="minorHAnsi"/>
                <w:lang w:eastAsia="en-US"/>
              </w:rPr>
            </w:pPr>
            <w:r w:rsidRPr="00915763">
              <w:rPr>
                <w:rFonts w:eastAsiaTheme="minorHAnsi"/>
                <w:lang w:eastAsia="en-US"/>
              </w:rPr>
              <w:t>Percentage of students passed</w:t>
            </w:r>
          </w:p>
        </w:tc>
        <w:tc>
          <w:tcPr>
            <w:tcW w:w="1530" w:type="dxa"/>
          </w:tcPr>
          <w:p w:rsidR="00915763" w:rsidRPr="00915763" w:rsidRDefault="00915763" w:rsidP="00263E48">
            <w:pPr>
              <w:suppressAutoHyphens w:val="0"/>
              <w:rPr>
                <w:rFonts w:eastAsiaTheme="minorHAnsi"/>
                <w:lang w:eastAsia="en-US"/>
              </w:rPr>
            </w:pPr>
            <w:r w:rsidRPr="00915763">
              <w:rPr>
                <w:rFonts w:eastAsiaTheme="minorHAnsi"/>
                <w:lang w:eastAsia="en-US"/>
              </w:rPr>
              <w:t>Average Ratio Score/Target</w:t>
            </w:r>
          </w:p>
        </w:tc>
        <w:tc>
          <w:tcPr>
            <w:tcW w:w="2425" w:type="dxa"/>
          </w:tcPr>
          <w:p w:rsidR="00915763" w:rsidRPr="00915763" w:rsidRDefault="00915763" w:rsidP="00263E48">
            <w:pPr>
              <w:suppressAutoHyphens w:val="0"/>
              <w:rPr>
                <w:rFonts w:eastAsiaTheme="minorHAnsi"/>
                <w:lang w:eastAsia="en-US"/>
              </w:rPr>
            </w:pPr>
            <w:r w:rsidRPr="00915763">
              <w:rPr>
                <w:rFonts w:eastAsiaTheme="minorHAnsi"/>
                <w:lang w:eastAsia="en-US"/>
              </w:rPr>
              <w:t>Percent Passed/ABET Comparator</w:t>
            </w:r>
          </w:p>
          <w:p w:rsidR="00915763" w:rsidRPr="00915763" w:rsidRDefault="00915763" w:rsidP="00263E48">
            <w:pPr>
              <w:suppressAutoHyphens w:val="0"/>
              <w:rPr>
                <w:rFonts w:eastAsiaTheme="minorHAnsi"/>
                <w:lang w:eastAsia="en-US"/>
              </w:rPr>
            </w:pPr>
            <w:r w:rsidRPr="00915763">
              <w:rPr>
                <w:rFonts w:eastAsiaTheme="minorHAnsi"/>
                <w:lang w:eastAsia="en-US"/>
              </w:rPr>
              <w:t>(NCEES does not publish the passing score)</w:t>
            </w:r>
          </w:p>
        </w:tc>
      </w:tr>
      <w:tr w:rsidR="00915763" w:rsidRPr="00915763" w:rsidTr="00C759C6">
        <w:trPr>
          <w:jc w:val="center"/>
        </w:trPr>
        <w:tc>
          <w:tcPr>
            <w:tcW w:w="2021" w:type="dxa"/>
          </w:tcPr>
          <w:p w:rsidR="00915763" w:rsidRPr="00915763" w:rsidRDefault="00915763" w:rsidP="00263E48">
            <w:pPr>
              <w:suppressAutoHyphens w:val="0"/>
              <w:rPr>
                <w:rFonts w:eastAsiaTheme="minorHAnsi"/>
                <w:lang w:eastAsia="en-US"/>
              </w:rPr>
            </w:pPr>
            <w:r w:rsidRPr="00915763">
              <w:rPr>
                <w:rFonts w:eastAsiaTheme="minorHAnsi"/>
                <w:lang w:eastAsia="en-US"/>
              </w:rPr>
              <w:t>Fall 2013 (pilot)</w:t>
            </w:r>
          </w:p>
        </w:tc>
        <w:tc>
          <w:tcPr>
            <w:tcW w:w="1124" w:type="dxa"/>
            <w:gridSpan w:val="2"/>
          </w:tcPr>
          <w:p w:rsidR="00915763" w:rsidRPr="00915763" w:rsidRDefault="00915763" w:rsidP="00263E48">
            <w:pPr>
              <w:suppressAutoHyphens w:val="0"/>
              <w:jc w:val="center"/>
              <w:rPr>
                <w:rFonts w:eastAsiaTheme="minorHAnsi" w:cstheme="minorHAnsi"/>
                <w:lang w:eastAsia="en-US"/>
              </w:rPr>
            </w:pPr>
            <w:r w:rsidRPr="00915763">
              <w:rPr>
                <w:rFonts w:eastAsiaTheme="minorHAnsi" w:cstheme="minorHAnsi"/>
                <w:lang w:eastAsia="en-US"/>
              </w:rPr>
              <w:t>2</w:t>
            </w:r>
          </w:p>
        </w:tc>
        <w:tc>
          <w:tcPr>
            <w:tcW w:w="992" w:type="dxa"/>
          </w:tcPr>
          <w:p w:rsidR="00915763" w:rsidRPr="00915763" w:rsidRDefault="00915763" w:rsidP="00263E48">
            <w:pPr>
              <w:suppressAutoHyphens w:val="0"/>
              <w:jc w:val="center"/>
              <w:rPr>
                <w:rFonts w:eastAsiaTheme="minorHAnsi" w:cstheme="minorHAnsi"/>
                <w:lang w:eastAsia="en-US"/>
              </w:rPr>
            </w:pPr>
            <w:r w:rsidRPr="00915763">
              <w:rPr>
                <w:rFonts w:eastAsiaTheme="minorHAnsi" w:cstheme="minorHAnsi"/>
                <w:lang w:eastAsia="en-US"/>
              </w:rPr>
              <w:t>3</w:t>
            </w:r>
          </w:p>
        </w:tc>
        <w:tc>
          <w:tcPr>
            <w:tcW w:w="1258" w:type="dxa"/>
          </w:tcPr>
          <w:p w:rsidR="00915763" w:rsidRPr="00915763" w:rsidRDefault="00915763" w:rsidP="00263E48">
            <w:pPr>
              <w:suppressAutoHyphens w:val="0"/>
              <w:jc w:val="center"/>
              <w:rPr>
                <w:rFonts w:eastAsiaTheme="minorHAnsi" w:cstheme="minorHAnsi"/>
                <w:lang w:eastAsia="en-US"/>
              </w:rPr>
            </w:pPr>
            <w:r w:rsidRPr="00915763">
              <w:rPr>
                <w:rFonts w:eastAsiaTheme="minorHAnsi" w:cstheme="minorHAnsi"/>
                <w:lang w:eastAsia="en-US"/>
              </w:rPr>
              <w:t>67</w:t>
            </w:r>
          </w:p>
        </w:tc>
        <w:tc>
          <w:tcPr>
            <w:tcW w:w="1530" w:type="dxa"/>
          </w:tcPr>
          <w:p w:rsidR="00915763" w:rsidRPr="00915763" w:rsidRDefault="00915763" w:rsidP="00263E48">
            <w:pPr>
              <w:suppressAutoHyphens w:val="0"/>
              <w:jc w:val="center"/>
              <w:rPr>
                <w:rFonts w:eastAsiaTheme="minorHAnsi" w:cstheme="minorHAnsi"/>
                <w:lang w:eastAsia="en-US"/>
              </w:rPr>
            </w:pPr>
            <w:r w:rsidRPr="00915763">
              <w:rPr>
                <w:rFonts w:eastAsiaTheme="minorHAnsi" w:cstheme="minorHAnsi"/>
                <w:lang w:eastAsia="en-US"/>
              </w:rPr>
              <w:t>NA</w:t>
            </w:r>
          </w:p>
        </w:tc>
        <w:tc>
          <w:tcPr>
            <w:tcW w:w="2425" w:type="dxa"/>
          </w:tcPr>
          <w:p w:rsidR="00915763" w:rsidRPr="00915763" w:rsidRDefault="00915763" w:rsidP="00263E48">
            <w:pPr>
              <w:suppressAutoHyphens w:val="0"/>
              <w:jc w:val="center"/>
              <w:rPr>
                <w:rFonts w:eastAsiaTheme="minorHAnsi" w:cstheme="minorHAnsi"/>
                <w:lang w:eastAsia="en-US"/>
              </w:rPr>
            </w:pPr>
            <w:r w:rsidRPr="00915763">
              <w:rPr>
                <w:rFonts w:eastAsiaTheme="minorHAnsi" w:cstheme="minorHAnsi"/>
                <w:lang w:eastAsia="en-US"/>
              </w:rPr>
              <w:t>67/NA</w:t>
            </w:r>
          </w:p>
        </w:tc>
      </w:tr>
      <w:tr w:rsidR="00915763" w:rsidRPr="00915763" w:rsidTr="00C759C6">
        <w:trPr>
          <w:jc w:val="center"/>
        </w:trPr>
        <w:tc>
          <w:tcPr>
            <w:tcW w:w="2021" w:type="dxa"/>
          </w:tcPr>
          <w:p w:rsidR="00915763" w:rsidRPr="00915763" w:rsidRDefault="00915763" w:rsidP="00263E48">
            <w:pPr>
              <w:suppressAutoHyphens w:val="0"/>
              <w:rPr>
                <w:rFonts w:eastAsiaTheme="minorHAnsi"/>
                <w:lang w:eastAsia="en-US"/>
              </w:rPr>
            </w:pPr>
            <w:r w:rsidRPr="00915763">
              <w:rPr>
                <w:rFonts w:eastAsiaTheme="minorHAnsi"/>
                <w:lang w:eastAsia="en-US"/>
              </w:rPr>
              <w:t>Spring 2014 (pilot)</w:t>
            </w:r>
          </w:p>
        </w:tc>
        <w:tc>
          <w:tcPr>
            <w:tcW w:w="1124" w:type="dxa"/>
            <w:gridSpan w:val="2"/>
          </w:tcPr>
          <w:p w:rsidR="00915763" w:rsidRPr="00915763" w:rsidRDefault="00915763" w:rsidP="00263E48">
            <w:pPr>
              <w:suppressAutoHyphens w:val="0"/>
              <w:jc w:val="center"/>
              <w:rPr>
                <w:rFonts w:eastAsiaTheme="minorHAnsi" w:cstheme="minorHAnsi"/>
                <w:lang w:eastAsia="en-US"/>
              </w:rPr>
            </w:pPr>
            <w:r w:rsidRPr="00915763">
              <w:rPr>
                <w:rFonts w:eastAsiaTheme="minorHAnsi" w:cstheme="minorHAnsi"/>
                <w:lang w:eastAsia="en-US"/>
              </w:rPr>
              <w:t>1</w:t>
            </w:r>
          </w:p>
        </w:tc>
        <w:tc>
          <w:tcPr>
            <w:tcW w:w="992" w:type="dxa"/>
          </w:tcPr>
          <w:p w:rsidR="00915763" w:rsidRPr="00915763" w:rsidRDefault="00915763" w:rsidP="00263E48">
            <w:pPr>
              <w:suppressAutoHyphens w:val="0"/>
              <w:jc w:val="center"/>
              <w:rPr>
                <w:rFonts w:eastAsiaTheme="minorHAnsi" w:cstheme="minorHAnsi"/>
                <w:lang w:eastAsia="en-US"/>
              </w:rPr>
            </w:pPr>
            <w:r w:rsidRPr="00915763">
              <w:rPr>
                <w:rFonts w:eastAsiaTheme="minorHAnsi" w:cstheme="minorHAnsi"/>
                <w:lang w:eastAsia="en-US"/>
              </w:rPr>
              <w:t>2</w:t>
            </w:r>
          </w:p>
        </w:tc>
        <w:tc>
          <w:tcPr>
            <w:tcW w:w="1258" w:type="dxa"/>
          </w:tcPr>
          <w:p w:rsidR="00915763" w:rsidRPr="00915763" w:rsidRDefault="00915763" w:rsidP="00263E48">
            <w:pPr>
              <w:suppressAutoHyphens w:val="0"/>
              <w:jc w:val="center"/>
              <w:rPr>
                <w:rFonts w:eastAsiaTheme="minorHAnsi" w:cstheme="minorHAnsi"/>
                <w:lang w:eastAsia="en-US"/>
              </w:rPr>
            </w:pPr>
            <w:r w:rsidRPr="00915763">
              <w:rPr>
                <w:rFonts w:eastAsiaTheme="minorHAnsi" w:cstheme="minorHAnsi"/>
                <w:lang w:eastAsia="en-US"/>
              </w:rPr>
              <w:t>50</w:t>
            </w:r>
          </w:p>
        </w:tc>
        <w:tc>
          <w:tcPr>
            <w:tcW w:w="1530" w:type="dxa"/>
          </w:tcPr>
          <w:p w:rsidR="00915763" w:rsidRPr="00915763" w:rsidRDefault="00915763" w:rsidP="00263E48">
            <w:pPr>
              <w:suppressAutoHyphens w:val="0"/>
              <w:jc w:val="center"/>
              <w:rPr>
                <w:rFonts w:eastAsiaTheme="minorHAnsi" w:cstheme="minorHAnsi"/>
                <w:lang w:eastAsia="en-US"/>
              </w:rPr>
            </w:pPr>
            <w:r w:rsidRPr="00915763">
              <w:rPr>
                <w:rFonts w:eastAsiaTheme="minorHAnsi" w:cstheme="minorHAnsi"/>
                <w:lang w:eastAsia="en-US"/>
              </w:rPr>
              <w:t>NA</w:t>
            </w:r>
          </w:p>
        </w:tc>
        <w:tc>
          <w:tcPr>
            <w:tcW w:w="2425" w:type="dxa"/>
          </w:tcPr>
          <w:p w:rsidR="00915763" w:rsidRPr="00915763" w:rsidRDefault="00915763" w:rsidP="00263E48">
            <w:pPr>
              <w:suppressAutoHyphens w:val="0"/>
              <w:jc w:val="center"/>
              <w:rPr>
                <w:rFonts w:eastAsiaTheme="minorHAnsi" w:cstheme="minorHAnsi"/>
                <w:lang w:eastAsia="en-US"/>
              </w:rPr>
            </w:pPr>
            <w:r w:rsidRPr="00915763">
              <w:rPr>
                <w:rFonts w:eastAsiaTheme="minorHAnsi" w:cstheme="minorHAnsi"/>
                <w:lang w:eastAsia="en-US"/>
              </w:rPr>
              <w:t>50/NA</w:t>
            </w:r>
          </w:p>
        </w:tc>
      </w:tr>
      <w:tr w:rsidR="00915763" w:rsidRPr="00915763" w:rsidTr="00C759C6">
        <w:trPr>
          <w:jc w:val="center"/>
        </w:trPr>
        <w:tc>
          <w:tcPr>
            <w:tcW w:w="2021" w:type="dxa"/>
          </w:tcPr>
          <w:p w:rsidR="00915763" w:rsidRPr="00915763" w:rsidRDefault="00915763" w:rsidP="00263E48">
            <w:pPr>
              <w:suppressAutoHyphens w:val="0"/>
              <w:rPr>
                <w:rFonts w:eastAsiaTheme="minorHAnsi"/>
                <w:lang w:eastAsia="en-US"/>
              </w:rPr>
            </w:pPr>
            <w:r w:rsidRPr="00915763">
              <w:rPr>
                <w:rFonts w:eastAsiaTheme="minorHAnsi"/>
                <w:lang w:eastAsia="en-US"/>
              </w:rPr>
              <w:t>Fall 2014</w:t>
            </w:r>
          </w:p>
        </w:tc>
        <w:tc>
          <w:tcPr>
            <w:tcW w:w="1124" w:type="dxa"/>
            <w:gridSpan w:val="2"/>
          </w:tcPr>
          <w:p w:rsidR="00915763" w:rsidRPr="00915763" w:rsidRDefault="00915763" w:rsidP="00263E48">
            <w:pPr>
              <w:suppressAutoHyphens w:val="0"/>
              <w:jc w:val="center"/>
              <w:rPr>
                <w:rFonts w:eastAsiaTheme="minorHAnsi" w:cstheme="minorHAnsi"/>
                <w:lang w:eastAsia="en-US"/>
              </w:rPr>
            </w:pPr>
            <w:r w:rsidRPr="00915763">
              <w:rPr>
                <w:rFonts w:eastAsiaTheme="minorHAnsi" w:cstheme="minorHAnsi"/>
                <w:lang w:eastAsia="en-US"/>
              </w:rPr>
              <w:t>3</w:t>
            </w:r>
          </w:p>
        </w:tc>
        <w:tc>
          <w:tcPr>
            <w:tcW w:w="992" w:type="dxa"/>
          </w:tcPr>
          <w:p w:rsidR="00915763" w:rsidRPr="00915763" w:rsidRDefault="00915763" w:rsidP="00263E48">
            <w:pPr>
              <w:suppressAutoHyphens w:val="0"/>
              <w:jc w:val="center"/>
              <w:rPr>
                <w:rFonts w:eastAsiaTheme="minorHAnsi" w:cstheme="minorHAnsi"/>
                <w:lang w:eastAsia="en-US"/>
              </w:rPr>
            </w:pPr>
            <w:r w:rsidRPr="00915763">
              <w:rPr>
                <w:rFonts w:eastAsiaTheme="minorHAnsi" w:cstheme="minorHAnsi"/>
                <w:lang w:eastAsia="en-US"/>
              </w:rPr>
              <w:t>11</w:t>
            </w:r>
          </w:p>
        </w:tc>
        <w:tc>
          <w:tcPr>
            <w:tcW w:w="1258" w:type="dxa"/>
          </w:tcPr>
          <w:p w:rsidR="00915763" w:rsidRPr="00915763" w:rsidRDefault="00915763" w:rsidP="00263E48">
            <w:pPr>
              <w:suppressAutoHyphens w:val="0"/>
              <w:jc w:val="center"/>
              <w:rPr>
                <w:rFonts w:eastAsiaTheme="minorHAnsi" w:cstheme="minorHAnsi"/>
                <w:lang w:eastAsia="en-US"/>
              </w:rPr>
            </w:pPr>
            <w:r w:rsidRPr="00915763">
              <w:rPr>
                <w:rFonts w:eastAsiaTheme="minorHAnsi" w:cstheme="minorHAnsi"/>
                <w:lang w:eastAsia="en-US"/>
              </w:rPr>
              <w:t>27</w:t>
            </w:r>
          </w:p>
        </w:tc>
        <w:tc>
          <w:tcPr>
            <w:tcW w:w="1530" w:type="dxa"/>
          </w:tcPr>
          <w:p w:rsidR="00915763" w:rsidRPr="00915763" w:rsidRDefault="00915763" w:rsidP="00263E48">
            <w:pPr>
              <w:suppressAutoHyphens w:val="0"/>
              <w:jc w:val="center"/>
              <w:rPr>
                <w:rFonts w:eastAsiaTheme="minorHAnsi" w:cstheme="minorHAnsi"/>
                <w:lang w:eastAsia="en-US"/>
              </w:rPr>
            </w:pPr>
            <w:r w:rsidRPr="00915763">
              <w:rPr>
                <w:rFonts w:eastAsiaTheme="minorHAnsi" w:cstheme="minorHAnsi"/>
                <w:lang w:eastAsia="en-US"/>
              </w:rPr>
              <w:t>1.03/1.00</w:t>
            </w:r>
          </w:p>
        </w:tc>
        <w:tc>
          <w:tcPr>
            <w:tcW w:w="2425" w:type="dxa"/>
          </w:tcPr>
          <w:p w:rsidR="00915763" w:rsidRPr="00915763" w:rsidRDefault="00915763" w:rsidP="00263E48">
            <w:pPr>
              <w:suppressAutoHyphens w:val="0"/>
              <w:jc w:val="center"/>
              <w:rPr>
                <w:rFonts w:eastAsiaTheme="minorHAnsi" w:cstheme="minorHAnsi"/>
                <w:lang w:eastAsia="en-US"/>
              </w:rPr>
            </w:pPr>
            <w:r w:rsidRPr="00915763">
              <w:rPr>
                <w:rFonts w:eastAsiaTheme="minorHAnsi" w:cstheme="minorHAnsi"/>
                <w:lang w:eastAsia="en-US"/>
              </w:rPr>
              <w:t>27/32</w:t>
            </w:r>
          </w:p>
        </w:tc>
      </w:tr>
      <w:tr w:rsidR="00915763" w:rsidRPr="00915763" w:rsidTr="00C759C6">
        <w:trPr>
          <w:jc w:val="center"/>
        </w:trPr>
        <w:tc>
          <w:tcPr>
            <w:tcW w:w="2021" w:type="dxa"/>
          </w:tcPr>
          <w:p w:rsidR="00915763" w:rsidRPr="00915763" w:rsidRDefault="00915763" w:rsidP="00263E48">
            <w:pPr>
              <w:suppressAutoHyphens w:val="0"/>
              <w:rPr>
                <w:rFonts w:eastAsiaTheme="minorHAnsi"/>
                <w:lang w:eastAsia="en-US"/>
              </w:rPr>
            </w:pPr>
            <w:r w:rsidRPr="00915763">
              <w:rPr>
                <w:rFonts w:eastAsiaTheme="minorHAnsi"/>
                <w:lang w:eastAsia="en-US"/>
              </w:rPr>
              <w:t>Fall 2015</w:t>
            </w:r>
          </w:p>
        </w:tc>
        <w:tc>
          <w:tcPr>
            <w:tcW w:w="1124" w:type="dxa"/>
            <w:gridSpan w:val="2"/>
          </w:tcPr>
          <w:p w:rsidR="00915763" w:rsidRPr="00915763" w:rsidRDefault="00915763" w:rsidP="00263E48">
            <w:pPr>
              <w:suppressAutoHyphens w:val="0"/>
              <w:jc w:val="center"/>
              <w:rPr>
                <w:rFonts w:eastAsiaTheme="minorHAnsi" w:cstheme="minorHAnsi"/>
                <w:lang w:eastAsia="en-US"/>
              </w:rPr>
            </w:pPr>
            <w:r w:rsidRPr="00915763">
              <w:rPr>
                <w:rFonts w:eastAsiaTheme="minorHAnsi" w:cstheme="minorHAnsi"/>
                <w:lang w:eastAsia="en-US"/>
              </w:rPr>
              <w:t>4</w:t>
            </w:r>
          </w:p>
        </w:tc>
        <w:tc>
          <w:tcPr>
            <w:tcW w:w="992" w:type="dxa"/>
          </w:tcPr>
          <w:p w:rsidR="00915763" w:rsidRPr="00915763" w:rsidRDefault="00915763" w:rsidP="00263E48">
            <w:pPr>
              <w:suppressAutoHyphens w:val="0"/>
              <w:jc w:val="center"/>
              <w:rPr>
                <w:rFonts w:eastAsiaTheme="minorHAnsi" w:cstheme="minorHAnsi"/>
                <w:lang w:eastAsia="en-US"/>
              </w:rPr>
            </w:pPr>
            <w:r w:rsidRPr="00915763">
              <w:rPr>
                <w:rFonts w:eastAsiaTheme="minorHAnsi" w:cstheme="minorHAnsi"/>
                <w:lang w:eastAsia="en-US"/>
              </w:rPr>
              <w:t>8</w:t>
            </w:r>
          </w:p>
        </w:tc>
        <w:tc>
          <w:tcPr>
            <w:tcW w:w="1258" w:type="dxa"/>
          </w:tcPr>
          <w:p w:rsidR="00915763" w:rsidRPr="00915763" w:rsidRDefault="00915763" w:rsidP="00263E48">
            <w:pPr>
              <w:suppressAutoHyphens w:val="0"/>
              <w:jc w:val="center"/>
              <w:rPr>
                <w:rFonts w:eastAsiaTheme="minorHAnsi" w:cstheme="minorHAnsi"/>
                <w:lang w:eastAsia="en-US"/>
              </w:rPr>
            </w:pPr>
            <w:r w:rsidRPr="00915763">
              <w:rPr>
                <w:rFonts w:eastAsiaTheme="minorHAnsi" w:cstheme="minorHAnsi"/>
                <w:lang w:eastAsia="en-US"/>
              </w:rPr>
              <w:t>50</w:t>
            </w:r>
          </w:p>
        </w:tc>
        <w:tc>
          <w:tcPr>
            <w:tcW w:w="1530" w:type="dxa"/>
          </w:tcPr>
          <w:p w:rsidR="00915763" w:rsidRPr="00915763" w:rsidRDefault="00915763" w:rsidP="00263E48">
            <w:pPr>
              <w:suppressAutoHyphens w:val="0"/>
              <w:jc w:val="center"/>
              <w:rPr>
                <w:rFonts w:eastAsiaTheme="minorHAnsi" w:cstheme="minorHAnsi"/>
                <w:lang w:eastAsia="en-US"/>
              </w:rPr>
            </w:pPr>
            <w:r w:rsidRPr="00915763">
              <w:rPr>
                <w:rFonts w:eastAsiaTheme="minorHAnsi" w:cstheme="minorHAnsi"/>
                <w:lang w:eastAsia="en-US"/>
              </w:rPr>
              <w:t>1.01/1.00</w:t>
            </w:r>
          </w:p>
        </w:tc>
        <w:tc>
          <w:tcPr>
            <w:tcW w:w="2425" w:type="dxa"/>
          </w:tcPr>
          <w:p w:rsidR="00915763" w:rsidRPr="00915763" w:rsidRDefault="00915763" w:rsidP="00263E48">
            <w:pPr>
              <w:suppressAutoHyphens w:val="0"/>
              <w:jc w:val="center"/>
              <w:rPr>
                <w:rFonts w:eastAsiaTheme="minorHAnsi" w:cstheme="minorHAnsi"/>
                <w:lang w:eastAsia="en-US"/>
              </w:rPr>
            </w:pPr>
            <w:r w:rsidRPr="00915763">
              <w:rPr>
                <w:rFonts w:eastAsiaTheme="minorHAnsi" w:cstheme="minorHAnsi"/>
                <w:lang w:eastAsia="en-US"/>
              </w:rPr>
              <w:t>50/47</w:t>
            </w:r>
          </w:p>
        </w:tc>
      </w:tr>
      <w:tr w:rsidR="00915763" w:rsidRPr="00915763" w:rsidTr="00C759C6">
        <w:trPr>
          <w:jc w:val="center"/>
        </w:trPr>
        <w:tc>
          <w:tcPr>
            <w:tcW w:w="2021" w:type="dxa"/>
          </w:tcPr>
          <w:p w:rsidR="00915763" w:rsidRPr="00915763" w:rsidRDefault="00915763" w:rsidP="00263E48">
            <w:pPr>
              <w:suppressAutoHyphens w:val="0"/>
              <w:rPr>
                <w:rFonts w:eastAsiaTheme="minorHAnsi"/>
                <w:lang w:eastAsia="en-US"/>
              </w:rPr>
            </w:pPr>
            <w:r w:rsidRPr="00915763">
              <w:rPr>
                <w:rFonts w:eastAsiaTheme="minorHAnsi"/>
                <w:lang w:eastAsia="en-US"/>
              </w:rPr>
              <w:t>Spring 2016</w:t>
            </w:r>
          </w:p>
        </w:tc>
        <w:tc>
          <w:tcPr>
            <w:tcW w:w="1124" w:type="dxa"/>
            <w:gridSpan w:val="2"/>
          </w:tcPr>
          <w:p w:rsidR="00915763" w:rsidRPr="00915763" w:rsidRDefault="00915763" w:rsidP="00263E48">
            <w:pPr>
              <w:suppressAutoHyphens w:val="0"/>
              <w:jc w:val="center"/>
              <w:rPr>
                <w:rFonts w:eastAsiaTheme="minorHAnsi" w:cstheme="minorHAnsi"/>
                <w:lang w:eastAsia="en-US"/>
              </w:rPr>
            </w:pPr>
            <w:r w:rsidRPr="00915763">
              <w:rPr>
                <w:rFonts w:eastAsiaTheme="minorHAnsi" w:cstheme="minorHAnsi"/>
                <w:lang w:eastAsia="en-US"/>
              </w:rPr>
              <w:t>6</w:t>
            </w:r>
          </w:p>
        </w:tc>
        <w:tc>
          <w:tcPr>
            <w:tcW w:w="992" w:type="dxa"/>
          </w:tcPr>
          <w:p w:rsidR="00915763" w:rsidRPr="00915763" w:rsidRDefault="00915763" w:rsidP="00263E48">
            <w:pPr>
              <w:suppressAutoHyphens w:val="0"/>
              <w:jc w:val="center"/>
              <w:rPr>
                <w:rFonts w:eastAsiaTheme="minorHAnsi" w:cstheme="minorHAnsi"/>
                <w:lang w:eastAsia="en-US"/>
              </w:rPr>
            </w:pPr>
            <w:r w:rsidRPr="00915763">
              <w:rPr>
                <w:rFonts w:eastAsiaTheme="minorHAnsi" w:cstheme="minorHAnsi"/>
                <w:lang w:eastAsia="en-US"/>
              </w:rPr>
              <w:t>15</w:t>
            </w:r>
          </w:p>
        </w:tc>
        <w:tc>
          <w:tcPr>
            <w:tcW w:w="1258" w:type="dxa"/>
          </w:tcPr>
          <w:p w:rsidR="00915763" w:rsidRPr="00915763" w:rsidRDefault="00915763" w:rsidP="00263E48">
            <w:pPr>
              <w:suppressAutoHyphens w:val="0"/>
              <w:jc w:val="center"/>
              <w:rPr>
                <w:rFonts w:eastAsiaTheme="minorHAnsi" w:cstheme="minorHAnsi"/>
                <w:lang w:eastAsia="en-US"/>
              </w:rPr>
            </w:pPr>
            <w:r w:rsidRPr="00915763">
              <w:rPr>
                <w:rFonts w:eastAsiaTheme="minorHAnsi" w:cstheme="minorHAnsi"/>
                <w:lang w:eastAsia="en-US"/>
              </w:rPr>
              <w:t>40</w:t>
            </w:r>
          </w:p>
        </w:tc>
        <w:tc>
          <w:tcPr>
            <w:tcW w:w="1530" w:type="dxa"/>
          </w:tcPr>
          <w:p w:rsidR="00915763" w:rsidRPr="00915763" w:rsidRDefault="00915763" w:rsidP="00263E48">
            <w:pPr>
              <w:suppressAutoHyphens w:val="0"/>
              <w:jc w:val="center"/>
              <w:rPr>
                <w:rFonts w:eastAsiaTheme="minorHAnsi" w:cstheme="minorHAnsi"/>
                <w:lang w:eastAsia="en-US"/>
              </w:rPr>
            </w:pPr>
            <w:r w:rsidRPr="00915763">
              <w:rPr>
                <w:rFonts w:eastAsiaTheme="minorHAnsi" w:cstheme="minorHAnsi"/>
                <w:lang w:eastAsia="en-US"/>
              </w:rPr>
              <w:t>1.04/1.00</w:t>
            </w:r>
          </w:p>
        </w:tc>
        <w:tc>
          <w:tcPr>
            <w:tcW w:w="2425" w:type="dxa"/>
          </w:tcPr>
          <w:p w:rsidR="00915763" w:rsidRPr="00915763" w:rsidRDefault="00915763" w:rsidP="00263E48">
            <w:pPr>
              <w:suppressAutoHyphens w:val="0"/>
              <w:jc w:val="center"/>
              <w:rPr>
                <w:rFonts w:eastAsiaTheme="minorHAnsi" w:cstheme="minorHAnsi"/>
                <w:lang w:eastAsia="en-US"/>
              </w:rPr>
            </w:pPr>
            <w:r w:rsidRPr="00915763">
              <w:rPr>
                <w:rFonts w:eastAsiaTheme="minorHAnsi" w:cstheme="minorHAnsi"/>
                <w:lang w:eastAsia="en-US"/>
              </w:rPr>
              <w:t>40/40</w:t>
            </w:r>
          </w:p>
        </w:tc>
      </w:tr>
      <w:tr w:rsidR="00915763" w:rsidRPr="00915763" w:rsidTr="00C759C6">
        <w:trPr>
          <w:jc w:val="center"/>
        </w:trPr>
        <w:tc>
          <w:tcPr>
            <w:tcW w:w="2021" w:type="dxa"/>
          </w:tcPr>
          <w:p w:rsidR="00915763" w:rsidRPr="00915763" w:rsidRDefault="00915763" w:rsidP="00263E48">
            <w:pPr>
              <w:suppressAutoHyphens w:val="0"/>
              <w:rPr>
                <w:rFonts w:eastAsiaTheme="minorHAnsi"/>
                <w:lang w:eastAsia="en-US"/>
              </w:rPr>
            </w:pPr>
            <w:r w:rsidRPr="00915763">
              <w:rPr>
                <w:rFonts w:eastAsiaTheme="minorHAnsi"/>
                <w:lang w:eastAsia="en-US"/>
              </w:rPr>
              <w:t>Fall 2016</w:t>
            </w:r>
          </w:p>
        </w:tc>
        <w:tc>
          <w:tcPr>
            <w:tcW w:w="1124" w:type="dxa"/>
            <w:gridSpan w:val="2"/>
          </w:tcPr>
          <w:p w:rsidR="00915763" w:rsidRPr="00915763" w:rsidRDefault="00915763" w:rsidP="00263E48">
            <w:pPr>
              <w:suppressAutoHyphens w:val="0"/>
              <w:jc w:val="center"/>
              <w:rPr>
                <w:rFonts w:eastAsiaTheme="minorHAnsi" w:cstheme="minorHAnsi"/>
                <w:lang w:eastAsia="en-US"/>
              </w:rPr>
            </w:pPr>
            <w:r w:rsidRPr="00915763">
              <w:rPr>
                <w:rFonts w:eastAsiaTheme="minorHAnsi" w:cstheme="minorHAnsi"/>
                <w:lang w:eastAsia="en-US"/>
              </w:rPr>
              <w:t>6</w:t>
            </w:r>
          </w:p>
        </w:tc>
        <w:tc>
          <w:tcPr>
            <w:tcW w:w="992" w:type="dxa"/>
          </w:tcPr>
          <w:p w:rsidR="00915763" w:rsidRPr="00915763" w:rsidRDefault="00915763" w:rsidP="00263E48">
            <w:pPr>
              <w:suppressAutoHyphens w:val="0"/>
              <w:jc w:val="center"/>
              <w:rPr>
                <w:rFonts w:eastAsiaTheme="minorHAnsi" w:cstheme="minorHAnsi"/>
                <w:lang w:eastAsia="en-US"/>
              </w:rPr>
            </w:pPr>
            <w:r w:rsidRPr="00915763">
              <w:rPr>
                <w:rFonts w:eastAsiaTheme="minorHAnsi" w:cstheme="minorHAnsi"/>
                <w:lang w:eastAsia="en-US"/>
              </w:rPr>
              <w:t>11</w:t>
            </w:r>
          </w:p>
        </w:tc>
        <w:tc>
          <w:tcPr>
            <w:tcW w:w="1258" w:type="dxa"/>
          </w:tcPr>
          <w:p w:rsidR="00915763" w:rsidRPr="00915763" w:rsidRDefault="00915763" w:rsidP="00263E48">
            <w:pPr>
              <w:suppressAutoHyphens w:val="0"/>
              <w:jc w:val="center"/>
              <w:rPr>
                <w:rFonts w:eastAsiaTheme="minorHAnsi" w:cstheme="minorHAnsi"/>
                <w:lang w:eastAsia="en-US"/>
              </w:rPr>
            </w:pPr>
            <w:r w:rsidRPr="00915763">
              <w:rPr>
                <w:rFonts w:eastAsiaTheme="minorHAnsi" w:cstheme="minorHAnsi"/>
                <w:lang w:eastAsia="en-US"/>
              </w:rPr>
              <w:t>55</w:t>
            </w:r>
          </w:p>
        </w:tc>
        <w:tc>
          <w:tcPr>
            <w:tcW w:w="1530" w:type="dxa"/>
          </w:tcPr>
          <w:p w:rsidR="00915763" w:rsidRPr="00915763" w:rsidRDefault="00915763" w:rsidP="00263E48">
            <w:pPr>
              <w:suppressAutoHyphens w:val="0"/>
              <w:jc w:val="center"/>
              <w:rPr>
                <w:rFonts w:eastAsiaTheme="minorHAnsi" w:cstheme="minorHAnsi"/>
                <w:lang w:eastAsia="en-US"/>
              </w:rPr>
            </w:pPr>
            <w:r w:rsidRPr="00915763">
              <w:rPr>
                <w:rFonts w:eastAsiaTheme="minorHAnsi" w:cstheme="minorHAnsi"/>
                <w:lang w:eastAsia="en-US"/>
              </w:rPr>
              <w:t>1.09/1.00</w:t>
            </w:r>
          </w:p>
        </w:tc>
        <w:tc>
          <w:tcPr>
            <w:tcW w:w="2425" w:type="dxa"/>
          </w:tcPr>
          <w:p w:rsidR="00915763" w:rsidRPr="00915763" w:rsidRDefault="00915763" w:rsidP="00263E48">
            <w:pPr>
              <w:suppressAutoHyphens w:val="0"/>
              <w:jc w:val="center"/>
              <w:rPr>
                <w:rFonts w:eastAsiaTheme="minorHAnsi" w:cstheme="minorHAnsi"/>
                <w:lang w:eastAsia="en-US"/>
              </w:rPr>
            </w:pPr>
            <w:r w:rsidRPr="00915763">
              <w:rPr>
                <w:rFonts w:eastAsiaTheme="minorHAnsi" w:cstheme="minorHAnsi"/>
                <w:lang w:eastAsia="en-US"/>
              </w:rPr>
              <w:t>55/38</w:t>
            </w:r>
          </w:p>
        </w:tc>
      </w:tr>
      <w:tr w:rsidR="00915763" w:rsidRPr="00915763" w:rsidTr="00C759C6">
        <w:trPr>
          <w:jc w:val="center"/>
        </w:trPr>
        <w:tc>
          <w:tcPr>
            <w:tcW w:w="2021" w:type="dxa"/>
          </w:tcPr>
          <w:p w:rsidR="00915763" w:rsidRPr="00915763" w:rsidRDefault="00915763" w:rsidP="00263E48">
            <w:pPr>
              <w:suppressAutoHyphens w:val="0"/>
              <w:rPr>
                <w:rFonts w:eastAsiaTheme="minorHAnsi"/>
                <w:lang w:eastAsia="en-US"/>
              </w:rPr>
            </w:pPr>
            <w:r w:rsidRPr="00915763">
              <w:rPr>
                <w:rFonts w:eastAsiaTheme="minorHAnsi"/>
                <w:lang w:eastAsia="en-US"/>
              </w:rPr>
              <w:t>Spring 2017</w:t>
            </w:r>
          </w:p>
        </w:tc>
        <w:tc>
          <w:tcPr>
            <w:tcW w:w="1124" w:type="dxa"/>
            <w:gridSpan w:val="2"/>
            <w:vAlign w:val="center"/>
          </w:tcPr>
          <w:p w:rsidR="00915763" w:rsidRPr="00915763" w:rsidRDefault="00915763" w:rsidP="00263E48">
            <w:pPr>
              <w:suppressAutoHyphens w:val="0"/>
              <w:jc w:val="center"/>
              <w:rPr>
                <w:rFonts w:eastAsiaTheme="minorHAnsi" w:cstheme="minorHAnsi"/>
                <w:lang w:eastAsia="en-US"/>
              </w:rPr>
            </w:pPr>
            <w:r w:rsidRPr="00915763">
              <w:rPr>
                <w:rFonts w:eastAsiaTheme="minorHAnsi" w:cstheme="minorHAnsi"/>
                <w:lang w:eastAsia="en-US"/>
              </w:rPr>
              <w:t>4</w:t>
            </w:r>
          </w:p>
        </w:tc>
        <w:tc>
          <w:tcPr>
            <w:tcW w:w="992" w:type="dxa"/>
            <w:vAlign w:val="center"/>
          </w:tcPr>
          <w:p w:rsidR="00915763" w:rsidRPr="00915763" w:rsidRDefault="00915763" w:rsidP="00263E48">
            <w:pPr>
              <w:suppressAutoHyphens w:val="0"/>
              <w:jc w:val="center"/>
              <w:rPr>
                <w:rFonts w:eastAsiaTheme="minorHAnsi" w:cstheme="minorHAnsi"/>
                <w:lang w:eastAsia="en-US"/>
              </w:rPr>
            </w:pPr>
            <w:r w:rsidRPr="00915763">
              <w:rPr>
                <w:rFonts w:eastAsiaTheme="minorHAnsi" w:cstheme="minorHAnsi"/>
                <w:lang w:eastAsia="en-US"/>
              </w:rPr>
              <w:t>15</w:t>
            </w:r>
          </w:p>
        </w:tc>
        <w:tc>
          <w:tcPr>
            <w:tcW w:w="1258" w:type="dxa"/>
            <w:vAlign w:val="center"/>
          </w:tcPr>
          <w:p w:rsidR="00915763" w:rsidRPr="00915763" w:rsidRDefault="00915763" w:rsidP="00263E48">
            <w:pPr>
              <w:suppressAutoHyphens w:val="0"/>
              <w:jc w:val="center"/>
              <w:rPr>
                <w:rFonts w:eastAsiaTheme="minorHAnsi" w:cstheme="minorHAnsi"/>
                <w:lang w:eastAsia="en-US"/>
              </w:rPr>
            </w:pPr>
            <w:r w:rsidRPr="00915763">
              <w:rPr>
                <w:rFonts w:eastAsiaTheme="minorHAnsi" w:cstheme="minorHAnsi"/>
                <w:lang w:eastAsia="en-US"/>
              </w:rPr>
              <w:t>27</w:t>
            </w:r>
          </w:p>
        </w:tc>
        <w:tc>
          <w:tcPr>
            <w:tcW w:w="1530" w:type="dxa"/>
            <w:vAlign w:val="center"/>
          </w:tcPr>
          <w:p w:rsidR="00915763" w:rsidRPr="00915763" w:rsidRDefault="00915763" w:rsidP="00263E48">
            <w:pPr>
              <w:suppressAutoHyphens w:val="0"/>
              <w:jc w:val="center"/>
              <w:rPr>
                <w:rFonts w:eastAsiaTheme="minorHAnsi" w:cstheme="minorHAnsi"/>
                <w:lang w:eastAsia="en-US"/>
              </w:rPr>
            </w:pPr>
            <w:r w:rsidRPr="00915763">
              <w:rPr>
                <w:rFonts w:eastAsiaTheme="minorHAnsi" w:cstheme="minorHAnsi"/>
                <w:lang w:eastAsia="en-US"/>
              </w:rPr>
              <w:t>.98/1.00</w:t>
            </w:r>
          </w:p>
        </w:tc>
        <w:tc>
          <w:tcPr>
            <w:tcW w:w="2425" w:type="dxa"/>
            <w:vAlign w:val="center"/>
          </w:tcPr>
          <w:p w:rsidR="00915763" w:rsidRPr="00915763" w:rsidRDefault="00915763" w:rsidP="00263E48">
            <w:pPr>
              <w:suppressAutoHyphens w:val="0"/>
              <w:jc w:val="center"/>
              <w:rPr>
                <w:rFonts w:eastAsiaTheme="minorHAnsi" w:cstheme="minorHAnsi"/>
                <w:lang w:eastAsia="en-US"/>
              </w:rPr>
            </w:pPr>
            <w:r w:rsidRPr="00915763">
              <w:rPr>
                <w:rFonts w:eastAsiaTheme="minorHAnsi" w:cstheme="minorHAnsi"/>
                <w:lang w:eastAsia="en-US"/>
              </w:rPr>
              <w:t>27/36</w:t>
            </w:r>
          </w:p>
        </w:tc>
      </w:tr>
      <w:tr w:rsidR="00915763" w:rsidRPr="00915763" w:rsidTr="00C759C6">
        <w:trPr>
          <w:trHeight w:val="287"/>
          <w:jc w:val="center"/>
        </w:trPr>
        <w:tc>
          <w:tcPr>
            <w:tcW w:w="2021" w:type="dxa"/>
            <w:hideMark/>
          </w:tcPr>
          <w:p w:rsidR="00915763" w:rsidRPr="00915763" w:rsidRDefault="00915763" w:rsidP="00263E48">
            <w:pPr>
              <w:suppressAutoHyphens w:val="0"/>
              <w:rPr>
                <w:rFonts w:eastAsiaTheme="minorHAnsi"/>
                <w:lang w:eastAsia="en-US"/>
              </w:rPr>
            </w:pPr>
            <w:r w:rsidRPr="00915763">
              <w:rPr>
                <w:rFonts w:eastAsiaTheme="minorHAnsi"/>
                <w:bCs/>
                <w:lang w:eastAsia="en-US"/>
              </w:rPr>
              <w:t>Fall 2017</w:t>
            </w:r>
          </w:p>
        </w:tc>
        <w:tc>
          <w:tcPr>
            <w:tcW w:w="1124" w:type="dxa"/>
            <w:gridSpan w:val="2"/>
            <w:hideMark/>
          </w:tcPr>
          <w:p w:rsidR="00915763" w:rsidRPr="00915763" w:rsidRDefault="00915763" w:rsidP="00263E48">
            <w:pPr>
              <w:suppressAutoHyphens w:val="0"/>
              <w:jc w:val="center"/>
              <w:rPr>
                <w:rFonts w:eastAsiaTheme="minorHAnsi" w:cstheme="minorHAnsi"/>
                <w:lang w:eastAsia="en-US"/>
              </w:rPr>
            </w:pPr>
            <w:r w:rsidRPr="00915763">
              <w:rPr>
                <w:rFonts w:eastAsiaTheme="minorHAnsi" w:cstheme="minorHAnsi"/>
                <w:bCs/>
                <w:lang w:eastAsia="en-US"/>
              </w:rPr>
              <w:t>4</w:t>
            </w:r>
          </w:p>
        </w:tc>
        <w:tc>
          <w:tcPr>
            <w:tcW w:w="992" w:type="dxa"/>
            <w:hideMark/>
          </w:tcPr>
          <w:p w:rsidR="00915763" w:rsidRPr="00915763" w:rsidRDefault="00915763" w:rsidP="00263E48">
            <w:pPr>
              <w:suppressAutoHyphens w:val="0"/>
              <w:jc w:val="center"/>
              <w:rPr>
                <w:rFonts w:eastAsiaTheme="minorHAnsi" w:cstheme="minorHAnsi"/>
                <w:lang w:eastAsia="en-US"/>
              </w:rPr>
            </w:pPr>
            <w:r w:rsidRPr="00915763">
              <w:rPr>
                <w:rFonts w:eastAsiaTheme="minorHAnsi" w:cstheme="minorHAnsi"/>
                <w:bCs/>
                <w:lang w:eastAsia="en-US"/>
              </w:rPr>
              <w:t>11</w:t>
            </w:r>
          </w:p>
        </w:tc>
        <w:tc>
          <w:tcPr>
            <w:tcW w:w="1258" w:type="dxa"/>
            <w:hideMark/>
          </w:tcPr>
          <w:p w:rsidR="00915763" w:rsidRPr="00915763" w:rsidRDefault="00915763" w:rsidP="00263E48">
            <w:pPr>
              <w:suppressAutoHyphens w:val="0"/>
              <w:jc w:val="center"/>
              <w:rPr>
                <w:rFonts w:eastAsiaTheme="minorHAnsi" w:cstheme="minorHAnsi"/>
                <w:lang w:eastAsia="en-US"/>
              </w:rPr>
            </w:pPr>
            <w:r w:rsidRPr="00915763">
              <w:rPr>
                <w:rFonts w:eastAsiaTheme="minorHAnsi" w:cstheme="minorHAnsi"/>
                <w:bCs/>
                <w:lang w:eastAsia="en-US"/>
              </w:rPr>
              <w:t>36</w:t>
            </w:r>
          </w:p>
        </w:tc>
        <w:tc>
          <w:tcPr>
            <w:tcW w:w="1530" w:type="dxa"/>
            <w:hideMark/>
          </w:tcPr>
          <w:p w:rsidR="00915763" w:rsidRPr="00915763" w:rsidRDefault="00915763" w:rsidP="00263E48">
            <w:pPr>
              <w:suppressAutoHyphens w:val="0"/>
              <w:jc w:val="center"/>
              <w:rPr>
                <w:rFonts w:eastAsiaTheme="minorHAnsi" w:cstheme="minorHAnsi"/>
                <w:lang w:eastAsia="en-US"/>
              </w:rPr>
            </w:pPr>
            <w:r w:rsidRPr="00915763">
              <w:rPr>
                <w:rFonts w:eastAsiaTheme="minorHAnsi" w:cstheme="minorHAnsi"/>
                <w:bCs/>
                <w:lang w:eastAsia="en-US"/>
              </w:rPr>
              <w:t>1.05/1.00</w:t>
            </w:r>
          </w:p>
        </w:tc>
        <w:tc>
          <w:tcPr>
            <w:tcW w:w="2425" w:type="dxa"/>
            <w:hideMark/>
          </w:tcPr>
          <w:p w:rsidR="00915763" w:rsidRPr="00915763" w:rsidRDefault="00915763" w:rsidP="00263E48">
            <w:pPr>
              <w:suppressAutoHyphens w:val="0"/>
              <w:jc w:val="center"/>
              <w:rPr>
                <w:rFonts w:eastAsiaTheme="minorHAnsi" w:cstheme="minorHAnsi"/>
                <w:lang w:eastAsia="en-US"/>
              </w:rPr>
            </w:pPr>
            <w:r w:rsidRPr="00915763">
              <w:rPr>
                <w:rFonts w:eastAsiaTheme="minorHAnsi" w:cstheme="minorHAnsi"/>
                <w:bCs/>
                <w:lang w:eastAsia="en-US"/>
              </w:rPr>
              <w:t>36/27</w:t>
            </w:r>
          </w:p>
        </w:tc>
      </w:tr>
      <w:tr w:rsidR="00915763" w:rsidRPr="00915763" w:rsidTr="00C759C6">
        <w:trPr>
          <w:trHeight w:val="251"/>
          <w:jc w:val="center"/>
        </w:trPr>
        <w:tc>
          <w:tcPr>
            <w:tcW w:w="2021" w:type="dxa"/>
            <w:hideMark/>
          </w:tcPr>
          <w:p w:rsidR="00915763" w:rsidRPr="00915763" w:rsidRDefault="00915763" w:rsidP="00263E48">
            <w:pPr>
              <w:suppressAutoHyphens w:val="0"/>
              <w:rPr>
                <w:rFonts w:eastAsiaTheme="minorHAnsi"/>
                <w:lang w:eastAsia="en-US"/>
              </w:rPr>
            </w:pPr>
            <w:r w:rsidRPr="00915763">
              <w:rPr>
                <w:rFonts w:eastAsiaTheme="minorHAnsi"/>
                <w:bCs/>
                <w:lang w:eastAsia="en-US"/>
              </w:rPr>
              <w:t>Spring 2018</w:t>
            </w:r>
          </w:p>
        </w:tc>
        <w:tc>
          <w:tcPr>
            <w:tcW w:w="1124" w:type="dxa"/>
            <w:gridSpan w:val="2"/>
            <w:hideMark/>
          </w:tcPr>
          <w:p w:rsidR="00915763" w:rsidRPr="00915763" w:rsidRDefault="00915763" w:rsidP="00263E48">
            <w:pPr>
              <w:suppressAutoHyphens w:val="0"/>
              <w:jc w:val="center"/>
              <w:rPr>
                <w:rFonts w:eastAsiaTheme="minorHAnsi" w:cstheme="minorHAnsi"/>
                <w:lang w:eastAsia="en-US"/>
              </w:rPr>
            </w:pPr>
            <w:r w:rsidRPr="00915763">
              <w:rPr>
                <w:rFonts w:eastAsiaTheme="minorHAnsi" w:cstheme="minorHAnsi"/>
                <w:lang w:eastAsia="en-US"/>
              </w:rPr>
              <w:t>7</w:t>
            </w:r>
          </w:p>
        </w:tc>
        <w:tc>
          <w:tcPr>
            <w:tcW w:w="992" w:type="dxa"/>
            <w:hideMark/>
          </w:tcPr>
          <w:p w:rsidR="00915763" w:rsidRPr="00915763" w:rsidRDefault="00915763" w:rsidP="00263E48">
            <w:pPr>
              <w:suppressAutoHyphens w:val="0"/>
              <w:jc w:val="center"/>
              <w:rPr>
                <w:rFonts w:eastAsiaTheme="minorHAnsi" w:cstheme="minorHAnsi"/>
                <w:lang w:eastAsia="en-US"/>
              </w:rPr>
            </w:pPr>
            <w:r w:rsidRPr="00915763">
              <w:rPr>
                <w:rFonts w:eastAsiaTheme="minorHAnsi" w:cstheme="minorHAnsi"/>
                <w:lang w:eastAsia="en-US"/>
              </w:rPr>
              <w:t>23</w:t>
            </w:r>
          </w:p>
        </w:tc>
        <w:tc>
          <w:tcPr>
            <w:tcW w:w="1258" w:type="dxa"/>
            <w:hideMark/>
          </w:tcPr>
          <w:p w:rsidR="00915763" w:rsidRPr="00915763" w:rsidRDefault="00915763" w:rsidP="00263E48">
            <w:pPr>
              <w:suppressAutoHyphens w:val="0"/>
              <w:jc w:val="center"/>
              <w:rPr>
                <w:rFonts w:eastAsiaTheme="minorHAnsi" w:cstheme="minorHAnsi"/>
                <w:lang w:eastAsia="en-US"/>
              </w:rPr>
            </w:pPr>
            <w:r w:rsidRPr="00915763">
              <w:rPr>
                <w:rFonts w:eastAsiaTheme="minorHAnsi" w:cstheme="minorHAnsi"/>
                <w:lang w:eastAsia="en-US"/>
              </w:rPr>
              <w:t>30</w:t>
            </w:r>
          </w:p>
        </w:tc>
        <w:tc>
          <w:tcPr>
            <w:tcW w:w="1530" w:type="dxa"/>
            <w:hideMark/>
          </w:tcPr>
          <w:p w:rsidR="00915763" w:rsidRPr="00915763" w:rsidRDefault="00915763" w:rsidP="00263E48">
            <w:pPr>
              <w:suppressAutoHyphens w:val="0"/>
              <w:jc w:val="center"/>
              <w:rPr>
                <w:rFonts w:eastAsiaTheme="minorHAnsi" w:cstheme="minorHAnsi"/>
                <w:lang w:eastAsia="en-US"/>
              </w:rPr>
            </w:pPr>
            <w:r w:rsidRPr="00915763">
              <w:rPr>
                <w:rFonts w:eastAsiaTheme="minorHAnsi" w:cstheme="minorHAnsi"/>
                <w:lang w:eastAsia="en-US"/>
              </w:rPr>
              <w:t>1.00/1.00</w:t>
            </w:r>
          </w:p>
        </w:tc>
        <w:tc>
          <w:tcPr>
            <w:tcW w:w="2425" w:type="dxa"/>
            <w:hideMark/>
          </w:tcPr>
          <w:p w:rsidR="00915763" w:rsidRPr="00915763" w:rsidRDefault="00915763" w:rsidP="00263E48">
            <w:pPr>
              <w:suppressAutoHyphens w:val="0"/>
              <w:jc w:val="center"/>
              <w:rPr>
                <w:rFonts w:eastAsiaTheme="minorHAnsi" w:cstheme="minorHAnsi"/>
                <w:lang w:eastAsia="en-US"/>
              </w:rPr>
            </w:pPr>
            <w:r w:rsidRPr="00915763">
              <w:rPr>
                <w:rFonts w:eastAsiaTheme="minorHAnsi" w:cstheme="minorHAnsi"/>
                <w:lang w:eastAsia="en-US"/>
              </w:rPr>
              <w:t>30/41</w:t>
            </w:r>
          </w:p>
        </w:tc>
      </w:tr>
      <w:tr w:rsidR="00915763" w:rsidRPr="00915763" w:rsidTr="00C759C6">
        <w:trPr>
          <w:trHeight w:val="180"/>
          <w:jc w:val="center"/>
        </w:trPr>
        <w:tc>
          <w:tcPr>
            <w:tcW w:w="2021" w:type="dxa"/>
            <w:hideMark/>
          </w:tcPr>
          <w:p w:rsidR="00915763" w:rsidRPr="00915763" w:rsidRDefault="00915763" w:rsidP="00263E48">
            <w:pPr>
              <w:suppressAutoHyphens w:val="0"/>
              <w:rPr>
                <w:rFonts w:eastAsiaTheme="minorHAnsi"/>
                <w:lang w:eastAsia="en-US"/>
              </w:rPr>
            </w:pPr>
            <w:r w:rsidRPr="00915763">
              <w:rPr>
                <w:rFonts w:eastAsiaTheme="minorHAnsi"/>
                <w:bCs/>
                <w:lang w:eastAsia="en-US"/>
              </w:rPr>
              <w:t>Fall 2018</w:t>
            </w:r>
          </w:p>
        </w:tc>
        <w:tc>
          <w:tcPr>
            <w:tcW w:w="1124" w:type="dxa"/>
            <w:gridSpan w:val="2"/>
            <w:hideMark/>
          </w:tcPr>
          <w:p w:rsidR="00915763" w:rsidRPr="00915763" w:rsidRDefault="00FA39C1" w:rsidP="00263E48">
            <w:pPr>
              <w:suppressAutoHyphens w:val="0"/>
              <w:jc w:val="center"/>
              <w:rPr>
                <w:rFonts w:eastAsiaTheme="minorHAnsi" w:cstheme="minorHAnsi"/>
                <w:lang w:eastAsia="en-US"/>
              </w:rPr>
            </w:pPr>
            <w:r>
              <w:rPr>
                <w:rFonts w:eastAsiaTheme="minorHAnsi" w:cstheme="minorHAnsi"/>
                <w:lang w:eastAsia="en-US"/>
              </w:rPr>
              <w:t>13 (*</w:t>
            </w:r>
            <w:r w:rsidR="00915763" w:rsidRPr="00915763">
              <w:rPr>
                <w:rFonts w:eastAsiaTheme="minorHAnsi" w:cstheme="minorHAnsi"/>
                <w:lang w:eastAsia="en-US"/>
              </w:rPr>
              <w:t>1</w:t>
            </w:r>
            <w:r w:rsidR="00B34DDC">
              <w:rPr>
                <w:rFonts w:eastAsiaTheme="minorHAnsi" w:cstheme="minorHAnsi"/>
                <w:lang w:eastAsia="en-US"/>
              </w:rPr>
              <w:t>4</w:t>
            </w:r>
            <w:r>
              <w:rPr>
                <w:rFonts w:eastAsiaTheme="minorHAnsi" w:cstheme="minorHAnsi"/>
                <w:lang w:eastAsia="en-US"/>
              </w:rPr>
              <w:t>)</w:t>
            </w:r>
          </w:p>
        </w:tc>
        <w:tc>
          <w:tcPr>
            <w:tcW w:w="992" w:type="dxa"/>
            <w:hideMark/>
          </w:tcPr>
          <w:p w:rsidR="00915763" w:rsidRPr="00915763" w:rsidRDefault="00FA39C1" w:rsidP="00263E48">
            <w:pPr>
              <w:suppressAutoHyphens w:val="0"/>
              <w:jc w:val="center"/>
              <w:rPr>
                <w:rFonts w:eastAsiaTheme="minorHAnsi" w:cstheme="minorHAnsi"/>
                <w:lang w:eastAsia="en-US"/>
              </w:rPr>
            </w:pPr>
            <w:r>
              <w:rPr>
                <w:rFonts w:eastAsiaTheme="minorHAnsi" w:cstheme="minorHAnsi"/>
                <w:lang w:eastAsia="en-US"/>
              </w:rPr>
              <w:t>20 (*</w:t>
            </w:r>
            <w:r w:rsidR="00915763" w:rsidRPr="00915763">
              <w:rPr>
                <w:rFonts w:eastAsiaTheme="minorHAnsi" w:cstheme="minorHAnsi"/>
                <w:lang w:eastAsia="en-US"/>
              </w:rPr>
              <w:t>2</w:t>
            </w:r>
            <w:r w:rsidR="00B34DDC">
              <w:rPr>
                <w:rFonts w:eastAsiaTheme="minorHAnsi" w:cstheme="minorHAnsi"/>
                <w:lang w:eastAsia="en-US"/>
              </w:rPr>
              <w:t>1</w:t>
            </w:r>
            <w:r>
              <w:rPr>
                <w:rFonts w:eastAsiaTheme="minorHAnsi" w:cstheme="minorHAnsi"/>
                <w:lang w:eastAsia="en-US"/>
              </w:rPr>
              <w:t>)</w:t>
            </w:r>
          </w:p>
        </w:tc>
        <w:tc>
          <w:tcPr>
            <w:tcW w:w="1258" w:type="dxa"/>
            <w:hideMark/>
          </w:tcPr>
          <w:p w:rsidR="00915763" w:rsidRPr="00915763" w:rsidRDefault="00FA39C1" w:rsidP="00263E48">
            <w:pPr>
              <w:suppressAutoHyphens w:val="0"/>
              <w:jc w:val="center"/>
              <w:rPr>
                <w:rFonts w:eastAsiaTheme="minorHAnsi" w:cstheme="minorHAnsi"/>
                <w:lang w:eastAsia="en-US"/>
              </w:rPr>
            </w:pPr>
            <w:r>
              <w:rPr>
                <w:rFonts w:eastAsiaTheme="minorHAnsi" w:cstheme="minorHAnsi"/>
                <w:lang w:eastAsia="en-US"/>
              </w:rPr>
              <w:t>65 (*</w:t>
            </w:r>
            <w:r w:rsidR="00915763" w:rsidRPr="00915763">
              <w:rPr>
                <w:rFonts w:eastAsiaTheme="minorHAnsi" w:cstheme="minorHAnsi"/>
                <w:lang w:eastAsia="en-US"/>
              </w:rPr>
              <w:t>6</w:t>
            </w:r>
            <w:r w:rsidR="00B34DDC">
              <w:rPr>
                <w:rFonts w:eastAsiaTheme="minorHAnsi" w:cstheme="minorHAnsi"/>
                <w:lang w:eastAsia="en-US"/>
              </w:rPr>
              <w:t>7</w:t>
            </w:r>
            <w:r>
              <w:rPr>
                <w:rFonts w:eastAsiaTheme="minorHAnsi" w:cstheme="minorHAnsi"/>
                <w:lang w:eastAsia="en-US"/>
              </w:rPr>
              <w:t>)</w:t>
            </w:r>
          </w:p>
        </w:tc>
        <w:tc>
          <w:tcPr>
            <w:tcW w:w="1530" w:type="dxa"/>
            <w:hideMark/>
          </w:tcPr>
          <w:p w:rsidR="00915763" w:rsidRPr="00915763" w:rsidRDefault="00915763" w:rsidP="00263E48">
            <w:pPr>
              <w:suppressAutoHyphens w:val="0"/>
              <w:jc w:val="center"/>
              <w:rPr>
                <w:rFonts w:eastAsiaTheme="minorHAnsi" w:cstheme="minorHAnsi"/>
                <w:lang w:eastAsia="en-US"/>
              </w:rPr>
            </w:pPr>
            <w:r w:rsidRPr="00915763">
              <w:rPr>
                <w:rFonts w:eastAsiaTheme="minorHAnsi" w:cstheme="minorHAnsi"/>
                <w:lang w:eastAsia="en-US"/>
              </w:rPr>
              <w:t>1.08/1.00</w:t>
            </w:r>
          </w:p>
        </w:tc>
        <w:tc>
          <w:tcPr>
            <w:tcW w:w="2425" w:type="dxa"/>
            <w:hideMark/>
          </w:tcPr>
          <w:p w:rsidR="00915763" w:rsidRPr="00915763" w:rsidRDefault="00FA39C1" w:rsidP="00263E48">
            <w:pPr>
              <w:suppressAutoHyphens w:val="0"/>
              <w:jc w:val="center"/>
              <w:rPr>
                <w:rFonts w:eastAsiaTheme="minorHAnsi" w:cstheme="minorHAnsi"/>
                <w:lang w:eastAsia="en-US"/>
              </w:rPr>
            </w:pPr>
            <w:r>
              <w:rPr>
                <w:rFonts w:eastAsiaTheme="minorHAnsi" w:cstheme="minorHAnsi"/>
                <w:lang w:eastAsia="en-US"/>
              </w:rPr>
              <w:t>65 (*</w:t>
            </w:r>
            <w:r w:rsidR="00915763" w:rsidRPr="00915763">
              <w:rPr>
                <w:rFonts w:eastAsiaTheme="minorHAnsi" w:cstheme="minorHAnsi"/>
                <w:lang w:eastAsia="en-US"/>
              </w:rPr>
              <w:t>6</w:t>
            </w:r>
            <w:r w:rsidR="00B34DDC">
              <w:rPr>
                <w:rFonts w:eastAsiaTheme="minorHAnsi" w:cstheme="minorHAnsi"/>
                <w:lang w:eastAsia="en-US"/>
              </w:rPr>
              <w:t>7</w:t>
            </w:r>
            <w:r>
              <w:rPr>
                <w:rFonts w:eastAsiaTheme="minorHAnsi" w:cstheme="minorHAnsi"/>
                <w:lang w:eastAsia="en-US"/>
              </w:rPr>
              <w:t>)</w:t>
            </w:r>
            <w:r w:rsidR="00915763" w:rsidRPr="00915763">
              <w:rPr>
                <w:rFonts w:eastAsiaTheme="minorHAnsi" w:cstheme="minorHAnsi"/>
                <w:lang w:eastAsia="en-US"/>
              </w:rPr>
              <w:t>/38</w:t>
            </w:r>
          </w:p>
        </w:tc>
      </w:tr>
      <w:tr w:rsidR="00915763" w:rsidRPr="00915763" w:rsidTr="00C759C6">
        <w:trPr>
          <w:jc w:val="center"/>
        </w:trPr>
        <w:tc>
          <w:tcPr>
            <w:tcW w:w="2021" w:type="dxa"/>
            <w:hideMark/>
          </w:tcPr>
          <w:p w:rsidR="00915763" w:rsidRPr="00915763" w:rsidRDefault="00915763" w:rsidP="00263E48">
            <w:pPr>
              <w:suppressAutoHyphens w:val="0"/>
              <w:rPr>
                <w:rFonts w:eastAsiaTheme="minorHAnsi"/>
                <w:lang w:eastAsia="en-US"/>
              </w:rPr>
            </w:pPr>
            <w:r w:rsidRPr="00915763">
              <w:rPr>
                <w:rFonts w:eastAsiaTheme="minorHAnsi"/>
                <w:bCs/>
                <w:lang w:eastAsia="en-US"/>
              </w:rPr>
              <w:t>Spring 2019</w:t>
            </w:r>
          </w:p>
        </w:tc>
        <w:tc>
          <w:tcPr>
            <w:tcW w:w="1124" w:type="dxa"/>
            <w:gridSpan w:val="2"/>
            <w:hideMark/>
          </w:tcPr>
          <w:p w:rsidR="00915763" w:rsidRPr="00915763" w:rsidRDefault="00FA39C1" w:rsidP="00263E48">
            <w:pPr>
              <w:suppressAutoHyphens w:val="0"/>
              <w:jc w:val="center"/>
              <w:rPr>
                <w:rFonts w:eastAsiaTheme="minorHAnsi" w:cstheme="minorHAnsi"/>
                <w:lang w:eastAsia="en-US"/>
              </w:rPr>
            </w:pPr>
            <w:r>
              <w:rPr>
                <w:rFonts w:eastAsiaTheme="minorHAnsi" w:cstheme="minorHAnsi"/>
                <w:lang w:eastAsia="en-US"/>
              </w:rPr>
              <w:t>4 (*</w:t>
            </w:r>
            <w:r w:rsidR="00B34DDC">
              <w:rPr>
                <w:rFonts w:eastAsiaTheme="minorHAnsi" w:cstheme="minorHAnsi"/>
                <w:lang w:eastAsia="en-US"/>
              </w:rPr>
              <w:t>5</w:t>
            </w:r>
            <w:r>
              <w:rPr>
                <w:rFonts w:eastAsiaTheme="minorHAnsi" w:cstheme="minorHAnsi"/>
                <w:lang w:eastAsia="en-US"/>
              </w:rPr>
              <w:t>)</w:t>
            </w:r>
          </w:p>
        </w:tc>
        <w:tc>
          <w:tcPr>
            <w:tcW w:w="992" w:type="dxa"/>
            <w:hideMark/>
          </w:tcPr>
          <w:p w:rsidR="00915763" w:rsidRPr="00915763" w:rsidRDefault="00FA39C1" w:rsidP="00263E48">
            <w:pPr>
              <w:suppressAutoHyphens w:val="0"/>
              <w:jc w:val="center"/>
              <w:rPr>
                <w:rFonts w:eastAsiaTheme="minorHAnsi" w:cstheme="minorHAnsi"/>
                <w:lang w:eastAsia="en-US"/>
              </w:rPr>
            </w:pPr>
            <w:r>
              <w:rPr>
                <w:rFonts w:eastAsiaTheme="minorHAnsi" w:cstheme="minorHAnsi"/>
                <w:lang w:eastAsia="en-US"/>
              </w:rPr>
              <w:t>13 (*</w:t>
            </w:r>
            <w:r w:rsidR="00915763" w:rsidRPr="00915763">
              <w:rPr>
                <w:rFonts w:eastAsiaTheme="minorHAnsi" w:cstheme="minorHAnsi"/>
                <w:lang w:eastAsia="en-US"/>
              </w:rPr>
              <w:t>1</w:t>
            </w:r>
            <w:r w:rsidR="00B34DDC">
              <w:rPr>
                <w:rFonts w:eastAsiaTheme="minorHAnsi" w:cstheme="minorHAnsi"/>
                <w:lang w:eastAsia="en-US"/>
              </w:rPr>
              <w:t>4</w:t>
            </w:r>
            <w:r>
              <w:rPr>
                <w:rFonts w:eastAsiaTheme="minorHAnsi" w:cstheme="minorHAnsi"/>
                <w:lang w:eastAsia="en-US"/>
              </w:rPr>
              <w:t>)</w:t>
            </w:r>
          </w:p>
        </w:tc>
        <w:tc>
          <w:tcPr>
            <w:tcW w:w="1258" w:type="dxa"/>
            <w:hideMark/>
          </w:tcPr>
          <w:p w:rsidR="00915763" w:rsidRPr="00915763" w:rsidRDefault="00FA39C1" w:rsidP="00263E48">
            <w:pPr>
              <w:suppressAutoHyphens w:val="0"/>
              <w:jc w:val="center"/>
              <w:rPr>
                <w:rFonts w:eastAsiaTheme="minorHAnsi" w:cstheme="minorHAnsi"/>
                <w:lang w:eastAsia="en-US"/>
              </w:rPr>
            </w:pPr>
            <w:r>
              <w:rPr>
                <w:rFonts w:eastAsiaTheme="minorHAnsi" w:cstheme="minorHAnsi"/>
                <w:lang w:eastAsia="en-US"/>
              </w:rPr>
              <w:t>31 (*</w:t>
            </w:r>
            <w:r w:rsidR="00915763" w:rsidRPr="00915763">
              <w:rPr>
                <w:rFonts w:eastAsiaTheme="minorHAnsi" w:cstheme="minorHAnsi"/>
                <w:lang w:eastAsia="en-US"/>
              </w:rPr>
              <w:t>3</w:t>
            </w:r>
            <w:r w:rsidR="00B34DDC">
              <w:rPr>
                <w:rFonts w:eastAsiaTheme="minorHAnsi" w:cstheme="minorHAnsi"/>
                <w:lang w:eastAsia="en-US"/>
              </w:rPr>
              <w:t>6</w:t>
            </w:r>
            <w:r>
              <w:rPr>
                <w:rFonts w:eastAsiaTheme="minorHAnsi" w:cstheme="minorHAnsi"/>
                <w:lang w:eastAsia="en-US"/>
              </w:rPr>
              <w:t>)</w:t>
            </w:r>
          </w:p>
        </w:tc>
        <w:tc>
          <w:tcPr>
            <w:tcW w:w="1530" w:type="dxa"/>
            <w:hideMark/>
          </w:tcPr>
          <w:p w:rsidR="00915763" w:rsidRPr="00915763" w:rsidRDefault="00915763" w:rsidP="00263E48">
            <w:pPr>
              <w:suppressAutoHyphens w:val="0"/>
              <w:jc w:val="center"/>
              <w:rPr>
                <w:rFonts w:eastAsiaTheme="minorHAnsi" w:cstheme="minorHAnsi"/>
                <w:lang w:eastAsia="en-US"/>
              </w:rPr>
            </w:pPr>
            <w:r w:rsidRPr="00915763">
              <w:rPr>
                <w:rFonts w:eastAsiaTheme="minorHAnsi" w:cstheme="minorHAnsi"/>
                <w:lang w:eastAsia="en-US"/>
              </w:rPr>
              <w:t>1.01/1.00</w:t>
            </w:r>
          </w:p>
        </w:tc>
        <w:tc>
          <w:tcPr>
            <w:tcW w:w="2425" w:type="dxa"/>
            <w:hideMark/>
          </w:tcPr>
          <w:p w:rsidR="00915763" w:rsidRPr="00915763" w:rsidRDefault="00FA39C1" w:rsidP="00263E48">
            <w:pPr>
              <w:suppressAutoHyphens w:val="0"/>
              <w:jc w:val="center"/>
              <w:rPr>
                <w:rFonts w:eastAsiaTheme="minorHAnsi" w:cstheme="minorHAnsi"/>
                <w:lang w:eastAsia="en-US"/>
              </w:rPr>
            </w:pPr>
            <w:r>
              <w:rPr>
                <w:rFonts w:eastAsiaTheme="minorHAnsi" w:cstheme="minorHAnsi"/>
                <w:lang w:eastAsia="en-US"/>
              </w:rPr>
              <w:t>31 (*</w:t>
            </w:r>
            <w:r w:rsidR="00915763" w:rsidRPr="00915763">
              <w:rPr>
                <w:rFonts w:eastAsiaTheme="minorHAnsi" w:cstheme="minorHAnsi"/>
                <w:lang w:eastAsia="en-US"/>
              </w:rPr>
              <w:t>3</w:t>
            </w:r>
            <w:r w:rsidR="00B34DDC">
              <w:rPr>
                <w:rFonts w:eastAsiaTheme="minorHAnsi" w:cstheme="minorHAnsi"/>
                <w:lang w:eastAsia="en-US"/>
              </w:rPr>
              <w:t>6</w:t>
            </w:r>
            <w:r>
              <w:rPr>
                <w:rFonts w:eastAsiaTheme="minorHAnsi" w:cstheme="minorHAnsi"/>
                <w:lang w:eastAsia="en-US"/>
              </w:rPr>
              <w:t>)</w:t>
            </w:r>
            <w:r w:rsidR="00915763" w:rsidRPr="00915763">
              <w:rPr>
                <w:rFonts w:eastAsiaTheme="minorHAnsi" w:cstheme="minorHAnsi"/>
                <w:lang w:eastAsia="en-US"/>
              </w:rPr>
              <w:t>/33</w:t>
            </w:r>
          </w:p>
        </w:tc>
      </w:tr>
      <w:tr w:rsidR="00915763" w:rsidRPr="00915763" w:rsidTr="00C759C6">
        <w:trPr>
          <w:trHeight w:val="177"/>
          <w:jc w:val="center"/>
        </w:trPr>
        <w:tc>
          <w:tcPr>
            <w:tcW w:w="2021" w:type="dxa"/>
            <w:hideMark/>
          </w:tcPr>
          <w:p w:rsidR="00915763" w:rsidRPr="00915763" w:rsidRDefault="00915763" w:rsidP="00263E48">
            <w:pPr>
              <w:suppressAutoHyphens w:val="0"/>
              <w:rPr>
                <w:rFonts w:eastAsiaTheme="minorHAnsi"/>
                <w:lang w:eastAsia="en-US"/>
              </w:rPr>
            </w:pPr>
            <w:r w:rsidRPr="00915763">
              <w:rPr>
                <w:rFonts w:eastAsiaTheme="minorHAnsi"/>
                <w:bCs/>
                <w:lang w:eastAsia="en-US"/>
              </w:rPr>
              <w:lastRenderedPageBreak/>
              <w:t>Fall 2019</w:t>
            </w:r>
          </w:p>
        </w:tc>
        <w:tc>
          <w:tcPr>
            <w:tcW w:w="1124" w:type="dxa"/>
            <w:gridSpan w:val="2"/>
            <w:hideMark/>
          </w:tcPr>
          <w:p w:rsidR="00915763" w:rsidRPr="00915763" w:rsidRDefault="00915763" w:rsidP="00263E48">
            <w:pPr>
              <w:suppressAutoHyphens w:val="0"/>
              <w:jc w:val="center"/>
              <w:rPr>
                <w:rFonts w:eastAsiaTheme="minorHAnsi" w:cstheme="minorHAnsi"/>
                <w:lang w:eastAsia="en-US"/>
              </w:rPr>
            </w:pPr>
            <w:r w:rsidRPr="00915763">
              <w:rPr>
                <w:rFonts w:eastAsiaTheme="minorHAnsi" w:cstheme="minorHAnsi"/>
                <w:lang w:eastAsia="en-US"/>
              </w:rPr>
              <w:t>7</w:t>
            </w:r>
          </w:p>
        </w:tc>
        <w:tc>
          <w:tcPr>
            <w:tcW w:w="992" w:type="dxa"/>
            <w:hideMark/>
          </w:tcPr>
          <w:p w:rsidR="00915763" w:rsidRPr="00915763" w:rsidRDefault="00915763" w:rsidP="00263E48">
            <w:pPr>
              <w:suppressAutoHyphens w:val="0"/>
              <w:jc w:val="center"/>
              <w:rPr>
                <w:rFonts w:eastAsiaTheme="minorHAnsi" w:cstheme="minorHAnsi"/>
                <w:lang w:eastAsia="en-US"/>
              </w:rPr>
            </w:pPr>
            <w:r w:rsidRPr="00915763">
              <w:rPr>
                <w:rFonts w:eastAsiaTheme="minorHAnsi" w:cstheme="minorHAnsi"/>
                <w:lang w:eastAsia="en-US"/>
              </w:rPr>
              <w:t>1</w:t>
            </w:r>
            <w:r w:rsidR="00FA39C1">
              <w:rPr>
                <w:rFonts w:eastAsiaTheme="minorHAnsi" w:cstheme="minorHAnsi"/>
                <w:lang w:eastAsia="en-US"/>
              </w:rPr>
              <w:t>4 (*16)</w:t>
            </w:r>
          </w:p>
        </w:tc>
        <w:tc>
          <w:tcPr>
            <w:tcW w:w="1258" w:type="dxa"/>
            <w:hideMark/>
          </w:tcPr>
          <w:p w:rsidR="00915763" w:rsidRPr="00915763" w:rsidRDefault="00FA39C1" w:rsidP="00263E48">
            <w:pPr>
              <w:suppressAutoHyphens w:val="0"/>
              <w:jc w:val="center"/>
              <w:rPr>
                <w:rFonts w:eastAsiaTheme="minorHAnsi" w:cstheme="minorHAnsi"/>
                <w:lang w:eastAsia="en-US"/>
              </w:rPr>
            </w:pPr>
            <w:r>
              <w:rPr>
                <w:rFonts w:eastAsiaTheme="minorHAnsi" w:cstheme="minorHAnsi"/>
                <w:lang w:eastAsia="en-US"/>
              </w:rPr>
              <w:t>50 (*</w:t>
            </w:r>
            <w:r w:rsidR="00B34DDC">
              <w:rPr>
                <w:rFonts w:eastAsiaTheme="minorHAnsi" w:cstheme="minorHAnsi"/>
                <w:lang w:eastAsia="en-US"/>
              </w:rPr>
              <w:t>44</w:t>
            </w:r>
            <w:r>
              <w:rPr>
                <w:rFonts w:eastAsiaTheme="minorHAnsi" w:cstheme="minorHAnsi"/>
                <w:lang w:eastAsia="en-US"/>
              </w:rPr>
              <w:t>)</w:t>
            </w:r>
          </w:p>
        </w:tc>
        <w:tc>
          <w:tcPr>
            <w:tcW w:w="1530" w:type="dxa"/>
            <w:hideMark/>
          </w:tcPr>
          <w:p w:rsidR="00915763" w:rsidRPr="00915763" w:rsidRDefault="00915763" w:rsidP="00263E48">
            <w:pPr>
              <w:suppressAutoHyphens w:val="0"/>
              <w:jc w:val="center"/>
              <w:rPr>
                <w:rFonts w:eastAsiaTheme="minorHAnsi" w:cstheme="minorHAnsi"/>
                <w:lang w:eastAsia="en-US"/>
              </w:rPr>
            </w:pPr>
            <w:r w:rsidRPr="00915763">
              <w:rPr>
                <w:rFonts w:eastAsiaTheme="minorHAnsi" w:cstheme="minorHAnsi"/>
                <w:lang w:eastAsia="en-US"/>
              </w:rPr>
              <w:t>1.01/1.00</w:t>
            </w:r>
          </w:p>
        </w:tc>
        <w:tc>
          <w:tcPr>
            <w:tcW w:w="2425" w:type="dxa"/>
            <w:hideMark/>
          </w:tcPr>
          <w:p w:rsidR="00915763" w:rsidRPr="00915763" w:rsidRDefault="00FA39C1" w:rsidP="00263E48">
            <w:pPr>
              <w:suppressAutoHyphens w:val="0"/>
              <w:jc w:val="center"/>
              <w:rPr>
                <w:rFonts w:eastAsiaTheme="minorHAnsi" w:cstheme="minorHAnsi"/>
                <w:lang w:eastAsia="en-US"/>
              </w:rPr>
            </w:pPr>
            <w:r>
              <w:rPr>
                <w:rFonts w:eastAsiaTheme="minorHAnsi" w:cstheme="minorHAnsi"/>
                <w:lang w:eastAsia="en-US"/>
              </w:rPr>
              <w:t>50 (*</w:t>
            </w:r>
            <w:r w:rsidR="00B34DDC">
              <w:rPr>
                <w:rFonts w:eastAsiaTheme="minorHAnsi" w:cstheme="minorHAnsi"/>
                <w:lang w:eastAsia="en-US"/>
              </w:rPr>
              <w:t>44</w:t>
            </w:r>
            <w:r>
              <w:rPr>
                <w:rFonts w:eastAsiaTheme="minorHAnsi" w:cstheme="minorHAnsi"/>
                <w:lang w:eastAsia="en-US"/>
              </w:rPr>
              <w:t>)</w:t>
            </w:r>
            <w:r w:rsidR="00915763" w:rsidRPr="00915763">
              <w:rPr>
                <w:rFonts w:eastAsiaTheme="minorHAnsi" w:cstheme="minorHAnsi"/>
                <w:lang w:eastAsia="en-US"/>
              </w:rPr>
              <w:t>/41</w:t>
            </w:r>
          </w:p>
        </w:tc>
      </w:tr>
      <w:tr w:rsidR="00820367" w:rsidRPr="00915763" w:rsidTr="00C759C6">
        <w:trPr>
          <w:gridAfter w:val="5"/>
          <w:wAfter w:w="6925" w:type="dxa"/>
          <w:jc w:val="center"/>
        </w:trPr>
        <w:tc>
          <w:tcPr>
            <w:tcW w:w="2425" w:type="dxa"/>
            <w:gridSpan w:val="2"/>
            <w:hideMark/>
          </w:tcPr>
          <w:p w:rsidR="00820367" w:rsidRPr="00915763" w:rsidRDefault="00820367" w:rsidP="00263E48">
            <w:pPr>
              <w:suppressAutoHyphens w:val="0"/>
              <w:rPr>
                <w:rFonts w:eastAsiaTheme="minorHAnsi"/>
                <w:lang w:eastAsia="en-US"/>
              </w:rPr>
            </w:pPr>
          </w:p>
        </w:tc>
      </w:tr>
      <w:tr w:rsidR="00915763" w:rsidRPr="00915763" w:rsidTr="00C759C6">
        <w:trPr>
          <w:trHeight w:val="393"/>
          <w:jc w:val="center"/>
        </w:trPr>
        <w:tc>
          <w:tcPr>
            <w:tcW w:w="2021" w:type="dxa"/>
            <w:hideMark/>
          </w:tcPr>
          <w:p w:rsidR="00915763" w:rsidRPr="00915763" w:rsidRDefault="00915763" w:rsidP="00263E48">
            <w:pPr>
              <w:suppressAutoHyphens w:val="0"/>
              <w:rPr>
                <w:rFonts w:eastAsiaTheme="minorHAnsi"/>
                <w:lang w:eastAsia="en-US"/>
              </w:rPr>
            </w:pPr>
            <w:r w:rsidRPr="00915763">
              <w:rPr>
                <w:rFonts w:eastAsiaTheme="minorHAnsi"/>
                <w:bCs/>
                <w:lang w:eastAsia="en-US"/>
              </w:rPr>
              <w:t>Totals: 2013-2019</w:t>
            </w:r>
          </w:p>
        </w:tc>
        <w:tc>
          <w:tcPr>
            <w:tcW w:w="1124" w:type="dxa"/>
            <w:gridSpan w:val="2"/>
            <w:hideMark/>
          </w:tcPr>
          <w:p w:rsidR="00915763" w:rsidRPr="00915763" w:rsidRDefault="00915763" w:rsidP="00263E48">
            <w:pPr>
              <w:suppressAutoHyphens w:val="0"/>
              <w:rPr>
                <w:rFonts w:eastAsiaTheme="minorHAnsi"/>
                <w:lang w:eastAsia="en-US"/>
              </w:rPr>
            </w:pPr>
            <w:r w:rsidRPr="00915763">
              <w:rPr>
                <w:rFonts w:eastAsiaTheme="minorHAnsi"/>
                <w:lang w:eastAsia="en-US"/>
              </w:rPr>
              <w:t>61</w:t>
            </w:r>
          </w:p>
        </w:tc>
        <w:tc>
          <w:tcPr>
            <w:tcW w:w="992" w:type="dxa"/>
            <w:hideMark/>
          </w:tcPr>
          <w:p w:rsidR="00915763" w:rsidRPr="00915763" w:rsidRDefault="00915763" w:rsidP="00263E48">
            <w:pPr>
              <w:suppressAutoHyphens w:val="0"/>
              <w:rPr>
                <w:rFonts w:eastAsiaTheme="minorHAnsi"/>
                <w:lang w:eastAsia="en-US"/>
              </w:rPr>
            </w:pPr>
            <w:r w:rsidRPr="00915763">
              <w:rPr>
                <w:rFonts w:eastAsiaTheme="minorHAnsi"/>
                <w:lang w:eastAsia="en-US"/>
              </w:rPr>
              <w:t>1</w:t>
            </w:r>
            <w:r>
              <w:rPr>
                <w:rFonts w:eastAsiaTheme="minorHAnsi"/>
                <w:lang w:eastAsia="en-US"/>
              </w:rPr>
              <w:t>3</w:t>
            </w:r>
            <w:r w:rsidRPr="00915763">
              <w:rPr>
                <w:rFonts w:eastAsiaTheme="minorHAnsi"/>
                <w:lang w:eastAsia="en-US"/>
              </w:rPr>
              <w:t>6</w:t>
            </w:r>
          </w:p>
        </w:tc>
        <w:tc>
          <w:tcPr>
            <w:tcW w:w="1258" w:type="dxa"/>
            <w:hideMark/>
          </w:tcPr>
          <w:p w:rsidR="00915763" w:rsidRPr="00915763" w:rsidRDefault="00915763" w:rsidP="00263E48">
            <w:pPr>
              <w:suppressAutoHyphens w:val="0"/>
              <w:rPr>
                <w:rFonts w:eastAsiaTheme="minorHAnsi"/>
                <w:lang w:eastAsia="en-US"/>
              </w:rPr>
            </w:pPr>
            <w:r w:rsidRPr="00915763">
              <w:rPr>
                <w:rFonts w:eastAsiaTheme="minorHAnsi"/>
                <w:lang w:eastAsia="en-US"/>
              </w:rPr>
              <w:t>4</w:t>
            </w:r>
            <w:r>
              <w:rPr>
                <w:rFonts w:eastAsiaTheme="minorHAnsi"/>
                <w:lang w:eastAsia="en-US"/>
              </w:rPr>
              <w:t>5</w:t>
            </w:r>
          </w:p>
        </w:tc>
        <w:tc>
          <w:tcPr>
            <w:tcW w:w="1530" w:type="dxa"/>
            <w:hideMark/>
          </w:tcPr>
          <w:p w:rsidR="00915763" w:rsidRPr="00915763" w:rsidRDefault="00915763" w:rsidP="00263E48">
            <w:pPr>
              <w:suppressAutoHyphens w:val="0"/>
              <w:rPr>
                <w:rFonts w:eastAsiaTheme="minorHAnsi"/>
                <w:lang w:eastAsia="en-US"/>
              </w:rPr>
            </w:pPr>
            <w:r w:rsidRPr="00915763">
              <w:rPr>
                <w:rFonts w:eastAsiaTheme="minorHAnsi"/>
                <w:lang w:eastAsia="en-US"/>
              </w:rPr>
              <w:t>NA</w:t>
            </w:r>
          </w:p>
        </w:tc>
        <w:tc>
          <w:tcPr>
            <w:tcW w:w="2425" w:type="dxa"/>
            <w:hideMark/>
          </w:tcPr>
          <w:p w:rsidR="00915763" w:rsidRPr="00915763" w:rsidRDefault="00915763" w:rsidP="00263E48">
            <w:pPr>
              <w:suppressAutoHyphens w:val="0"/>
              <w:rPr>
                <w:rFonts w:eastAsiaTheme="minorHAnsi"/>
                <w:lang w:eastAsia="en-US"/>
              </w:rPr>
            </w:pPr>
            <w:r w:rsidRPr="00915763">
              <w:rPr>
                <w:rFonts w:eastAsiaTheme="minorHAnsi"/>
                <w:lang w:eastAsia="en-US"/>
              </w:rPr>
              <w:t>NA</w:t>
            </w:r>
          </w:p>
        </w:tc>
      </w:tr>
    </w:tbl>
    <w:p w:rsidR="00FA39C1" w:rsidRDefault="00B827C3" w:rsidP="00263E48">
      <w:pPr>
        <w:spacing w:after="0" w:line="240" w:lineRule="auto"/>
      </w:pPr>
      <w:r>
        <w:t xml:space="preserve"> </w:t>
      </w:r>
      <w:r w:rsidR="00320BB4">
        <w:t>(* Indicates the number reported by NCEES to the students at the completion of the semester which are provided by the course instructor.)</w:t>
      </w:r>
    </w:p>
    <w:p w:rsidR="00A86590" w:rsidRDefault="00A86590" w:rsidP="00263E48">
      <w:pPr>
        <w:spacing w:after="0" w:line="240" w:lineRule="auto"/>
      </w:pPr>
    </w:p>
    <w:p w:rsidR="004D4666" w:rsidRDefault="001625C1" w:rsidP="00263E48">
      <w:pPr>
        <w:spacing w:after="0" w:line="240" w:lineRule="auto"/>
      </w:pPr>
      <w:r>
        <w:t xml:space="preserve">Individual topics for the FE </w:t>
      </w:r>
      <w:r w:rsidR="00991DA4">
        <w:t>are recorded to provide a longitudinal look at student performance over time</w:t>
      </w:r>
      <w:r>
        <w:t xml:space="preserve"> (see Figures </w:t>
      </w:r>
      <w:r w:rsidR="00991DA4">
        <w:t>2</w:t>
      </w:r>
      <w:r>
        <w:t>&amp;</w:t>
      </w:r>
      <w:r w:rsidR="00991DA4">
        <w:t>3</w:t>
      </w:r>
      <w:r>
        <w:t xml:space="preserve">). </w:t>
      </w:r>
      <w:r w:rsidR="00991DA4" w:rsidRPr="00991DA4">
        <w:t>It should be noted that NCEES results do not provide a percentage of questions that were correct for each topic. The values represented in the graphs are the average ratio scores for each topic area. This is a ratio of the group of students from this institution taking the exam compared to all students from similar institutions, which in this case are ABET ETAC accredited institution</w:t>
      </w:r>
      <w:r w:rsidR="00B61C44">
        <w:t xml:space="preserve"> students</w:t>
      </w:r>
      <w:r w:rsidR="00991DA4" w:rsidRPr="00991DA4">
        <w:t xml:space="preserve"> taking the Mechanical FE.</w:t>
      </w:r>
    </w:p>
    <w:p w:rsidR="001F321D" w:rsidRDefault="001F321D" w:rsidP="00263E48">
      <w:pPr>
        <w:spacing w:after="0" w:line="240" w:lineRule="auto"/>
      </w:pPr>
    </w:p>
    <w:p w:rsidR="00D61F10" w:rsidRDefault="00D61F10" w:rsidP="00263E48">
      <w:pPr>
        <w:spacing w:after="0" w:line="240" w:lineRule="auto"/>
        <w:jc w:val="center"/>
      </w:pPr>
      <w:r>
        <w:rPr>
          <w:noProof/>
          <w:lang w:eastAsia="en-US"/>
        </w:rPr>
        <w:drawing>
          <wp:inline distT="0" distB="0" distL="0" distR="0" wp14:anchorId="175798E5" wp14:editId="273BE283">
            <wp:extent cx="4841232" cy="4718649"/>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91886" cy="4768020"/>
                    </a:xfrm>
                    <a:prstGeom prst="rect">
                      <a:avLst/>
                    </a:prstGeom>
                  </pic:spPr>
                </pic:pic>
              </a:graphicData>
            </a:graphic>
          </wp:inline>
        </w:drawing>
      </w:r>
    </w:p>
    <w:p w:rsidR="00A82B41" w:rsidRDefault="00A82B41" w:rsidP="00263E48">
      <w:pPr>
        <w:spacing w:after="0" w:line="240" w:lineRule="auto"/>
        <w:jc w:val="center"/>
      </w:pPr>
      <w:r w:rsidRPr="00A82B41">
        <w:t xml:space="preserve">Figure </w:t>
      </w:r>
      <w:r w:rsidR="00991DA4">
        <w:t>2</w:t>
      </w:r>
      <w:r w:rsidRPr="00A82B41">
        <w:t xml:space="preserve"> – MET </w:t>
      </w:r>
      <w:r>
        <w:t>NCEES FE</w:t>
      </w:r>
      <w:r w:rsidRPr="00A82B41">
        <w:t xml:space="preserve"> topics </w:t>
      </w:r>
      <w:r>
        <w:t>1-8</w:t>
      </w:r>
      <w:r w:rsidRPr="00A82B41">
        <w:t xml:space="preserve"> </w:t>
      </w:r>
      <w:r>
        <w:t>from</w:t>
      </w:r>
      <w:r w:rsidRPr="00A82B41">
        <w:t xml:space="preserve"> 201</w:t>
      </w:r>
      <w:r>
        <w:t>4-19</w:t>
      </w:r>
    </w:p>
    <w:p w:rsidR="008D05DD" w:rsidRDefault="008D05DD" w:rsidP="00263E48">
      <w:pPr>
        <w:spacing w:after="0" w:line="240" w:lineRule="auto"/>
      </w:pPr>
      <w:r>
        <w:tab/>
      </w:r>
      <w:r w:rsidR="00543376">
        <w:t xml:space="preserve"> </w:t>
      </w:r>
    </w:p>
    <w:p w:rsidR="00A82B41" w:rsidRDefault="00D61F10" w:rsidP="00263E48">
      <w:pPr>
        <w:spacing w:after="0" w:line="240" w:lineRule="auto"/>
        <w:jc w:val="center"/>
      </w:pPr>
      <w:r>
        <w:rPr>
          <w:noProof/>
          <w:lang w:eastAsia="en-US"/>
        </w:rPr>
        <w:lastRenderedPageBreak/>
        <w:drawing>
          <wp:inline distT="0" distB="0" distL="0" distR="0" wp14:anchorId="61B31219" wp14:editId="50B4421C">
            <wp:extent cx="4957135" cy="4787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66771" cy="4796967"/>
                    </a:xfrm>
                    <a:prstGeom prst="rect">
                      <a:avLst/>
                    </a:prstGeom>
                  </pic:spPr>
                </pic:pic>
              </a:graphicData>
            </a:graphic>
          </wp:inline>
        </w:drawing>
      </w:r>
    </w:p>
    <w:p w:rsidR="00A82B41" w:rsidRPr="00A82B41" w:rsidRDefault="00A82B41" w:rsidP="00263E48">
      <w:pPr>
        <w:spacing w:after="0" w:line="240" w:lineRule="auto"/>
        <w:jc w:val="center"/>
      </w:pPr>
      <w:r w:rsidRPr="00A82B41">
        <w:t xml:space="preserve">Figure </w:t>
      </w:r>
      <w:r w:rsidR="00991DA4">
        <w:t>3</w:t>
      </w:r>
      <w:r w:rsidRPr="00A82B41">
        <w:t xml:space="preserve"> – MET NCEES FE topics </w:t>
      </w:r>
      <w:r>
        <w:t>9-15 from</w:t>
      </w:r>
      <w:r w:rsidRPr="00A82B41">
        <w:t xml:space="preserve"> 2014</w:t>
      </w:r>
      <w:r>
        <w:t>-19</w:t>
      </w:r>
    </w:p>
    <w:p w:rsidR="00422AC3" w:rsidRDefault="00422AC3" w:rsidP="00263E48">
      <w:pPr>
        <w:spacing w:after="0" w:line="240" w:lineRule="auto"/>
      </w:pPr>
    </w:p>
    <w:p w:rsidR="00422AC3" w:rsidRDefault="00422AC3" w:rsidP="00263E48">
      <w:pPr>
        <w:spacing w:after="0" w:line="240" w:lineRule="auto"/>
      </w:pPr>
      <w:r>
        <w:t xml:space="preserve">The NCEES FE results are </w:t>
      </w:r>
      <w:r w:rsidR="00F93829">
        <w:t xml:space="preserve">also </w:t>
      </w:r>
      <w:r>
        <w:t xml:space="preserve">used to see how well students are scoring on each subject as shown in Figure 4. For the semesters from fall 2018 to spring 2020 the scores on the core engineering courses of Statics and Mechanics of Materials were lower than the other engineering courses currently taught in the department. As a result of this it was decided to break up the single semester combined Statics and Strength of Materials class into two separate semester long classes. This change started in the fall 2020 semester. </w:t>
      </w:r>
    </w:p>
    <w:p w:rsidR="00422AC3" w:rsidRDefault="00F93829" w:rsidP="00263E48">
      <w:pPr>
        <w:spacing w:after="0" w:line="240" w:lineRule="auto"/>
        <w:jc w:val="center"/>
      </w:pPr>
      <w:r>
        <w:rPr>
          <w:noProof/>
          <w:lang w:eastAsia="en-US"/>
        </w:rPr>
        <w:lastRenderedPageBreak/>
        <w:drawing>
          <wp:inline distT="0" distB="0" distL="0" distR="0" wp14:anchorId="699CB69D" wp14:editId="3C16A490">
            <wp:extent cx="4722962" cy="3412542"/>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ults by Subject.png"/>
                    <pic:cNvPicPr/>
                  </pic:nvPicPr>
                  <pic:blipFill>
                    <a:blip r:embed="rId14">
                      <a:extLst>
                        <a:ext uri="{28A0092B-C50C-407E-A947-70E740481C1C}">
                          <a14:useLocalDpi xmlns:a14="http://schemas.microsoft.com/office/drawing/2010/main" val="0"/>
                        </a:ext>
                      </a:extLst>
                    </a:blip>
                    <a:stretch>
                      <a:fillRect/>
                    </a:stretch>
                  </pic:blipFill>
                  <pic:spPr>
                    <a:xfrm>
                      <a:off x="0" y="0"/>
                      <a:ext cx="4744003" cy="3427745"/>
                    </a:xfrm>
                    <a:prstGeom prst="rect">
                      <a:avLst/>
                    </a:prstGeom>
                  </pic:spPr>
                </pic:pic>
              </a:graphicData>
            </a:graphic>
          </wp:inline>
        </w:drawing>
      </w:r>
    </w:p>
    <w:p w:rsidR="00422AC3" w:rsidRDefault="00422AC3" w:rsidP="00263E48">
      <w:pPr>
        <w:spacing w:after="0" w:line="240" w:lineRule="auto"/>
      </w:pPr>
      <w:r>
        <w:t xml:space="preserve"> </w:t>
      </w:r>
    </w:p>
    <w:p w:rsidR="00ED7586" w:rsidRDefault="00422AC3" w:rsidP="00263E48">
      <w:pPr>
        <w:spacing w:after="0" w:line="240" w:lineRule="auto"/>
        <w:jc w:val="center"/>
      </w:pPr>
      <w:r>
        <w:t>Figure 4 – F2018 thru S2020 FE Exam Results by Subject</w:t>
      </w:r>
    </w:p>
    <w:p w:rsidR="00422AC3" w:rsidRDefault="00422AC3" w:rsidP="00263E48">
      <w:pPr>
        <w:spacing w:after="0" w:line="240" w:lineRule="auto"/>
        <w:rPr>
          <w:b/>
        </w:rPr>
      </w:pPr>
      <w:bookmarkStart w:id="2" w:name="_Hlk46847377"/>
    </w:p>
    <w:p w:rsidR="00A332E0" w:rsidRDefault="00B70A32" w:rsidP="00263E48">
      <w:pPr>
        <w:spacing w:after="0" w:line="240" w:lineRule="auto"/>
      </w:pPr>
      <w:r>
        <w:rPr>
          <w:b/>
        </w:rPr>
        <w:t>Discussion</w:t>
      </w:r>
    </w:p>
    <w:bookmarkEnd w:id="2"/>
    <w:p w:rsidR="00A86590" w:rsidRDefault="00A86590" w:rsidP="00263E48">
      <w:pPr>
        <w:spacing w:after="0" w:line="240" w:lineRule="auto"/>
      </w:pPr>
    </w:p>
    <w:p w:rsidR="006035C8" w:rsidRDefault="0029249F" w:rsidP="00263E48">
      <w:pPr>
        <w:spacing w:after="0" w:line="240" w:lineRule="auto"/>
      </w:pPr>
      <w:r>
        <w:t xml:space="preserve">Various MET faculty have taught the Professional Practice </w:t>
      </w:r>
      <w:r w:rsidR="00A45C92">
        <w:t xml:space="preserve">Seminar </w:t>
      </w:r>
      <w:r>
        <w:t xml:space="preserve">course until </w:t>
      </w:r>
      <w:proofErr w:type="gramStart"/>
      <w:r>
        <w:t>Fall</w:t>
      </w:r>
      <w:proofErr w:type="gramEnd"/>
      <w:r>
        <w:t xml:space="preserve"> 2018 when an instructor with a PE license took over teaching the course. Until </w:t>
      </w:r>
      <w:proofErr w:type="gramStart"/>
      <w:r>
        <w:t>Fall</w:t>
      </w:r>
      <w:proofErr w:type="gramEnd"/>
      <w:r>
        <w:t xml:space="preserve"> 2018 a different instructor taught a different topic each week. Each instructor used a different teaching style as far as homework vs. quizzes vs. doing example problems. </w:t>
      </w:r>
      <w:r w:rsidR="00B673F5">
        <w:t>S</w:t>
      </w:r>
      <w:r w:rsidR="006035C8">
        <w:t xml:space="preserve">tudents were assigned practice problems from the </w:t>
      </w:r>
      <w:r w:rsidR="006035C8" w:rsidRPr="006035C8">
        <w:t>FE Mechanical Review Manual</w:t>
      </w:r>
      <w:r w:rsidR="006035C8">
        <w:t xml:space="preserve"> that were reviewed on a Friday one </w:t>
      </w:r>
      <w:r w:rsidR="00B673F5">
        <w:t>120-minute</w:t>
      </w:r>
      <w:r w:rsidR="006035C8">
        <w:t xml:space="preserve"> lab session. The following week in a </w:t>
      </w:r>
      <w:r w:rsidR="00B673F5">
        <w:t>50-</w:t>
      </w:r>
      <w:r w:rsidR="006035C8">
        <w:t xml:space="preserve">minute class session the material would be reviewed quickly and then the students would take an </w:t>
      </w:r>
      <w:r w:rsidR="006035C8" w:rsidRPr="006035C8">
        <w:t xml:space="preserve">online quiz with </w:t>
      </w:r>
      <w:r w:rsidR="0075593C">
        <w:t>30</w:t>
      </w:r>
      <w:r w:rsidR="006035C8" w:rsidRPr="006035C8">
        <w:t xml:space="preserve"> minutes allowed to complete</w:t>
      </w:r>
      <w:r w:rsidR="006035C8">
        <w:t xml:space="preserve"> 10 questions.</w:t>
      </w:r>
      <w:r w:rsidR="0075593C">
        <w:t xml:space="preserve"> </w:t>
      </w:r>
      <w:r w:rsidR="00B673F5">
        <w:t>Faculty that were teaching the topics created the</w:t>
      </w:r>
      <w:r w:rsidR="0075593C">
        <w:t xml:space="preserve"> questions for the online quizzes </w:t>
      </w:r>
      <w:r w:rsidR="00B673F5">
        <w:t>that</w:t>
      </w:r>
      <w:r w:rsidR="0075593C">
        <w:t xml:space="preserve"> were saved in the course LMS system.</w:t>
      </w:r>
    </w:p>
    <w:p w:rsidR="00263E48" w:rsidRDefault="00263E48" w:rsidP="00263E48">
      <w:pPr>
        <w:spacing w:after="0" w:line="240" w:lineRule="auto"/>
      </w:pPr>
    </w:p>
    <w:p w:rsidR="003D2992" w:rsidRDefault="0029249F" w:rsidP="00263E48">
      <w:pPr>
        <w:spacing w:after="0" w:line="240" w:lineRule="auto"/>
      </w:pPr>
      <w:r>
        <w:t xml:space="preserve">In </w:t>
      </w:r>
      <w:proofErr w:type="gramStart"/>
      <w:r>
        <w:t>Fall</w:t>
      </w:r>
      <w:proofErr w:type="gramEnd"/>
      <w:r>
        <w:t xml:space="preserve"> 2018 since one instructor taught the entire course the teaching method was the same throughout the entire semester. </w:t>
      </w:r>
      <w:r w:rsidR="00B673F5">
        <w:t>T</w:t>
      </w:r>
      <w:r w:rsidR="00270BC7">
        <w:t>he 15 categories mentioned previously</w:t>
      </w:r>
      <w:r w:rsidR="00B673F5">
        <w:t xml:space="preserve"> were reviewed during the course</w:t>
      </w:r>
      <w:r w:rsidR="00270BC7">
        <w:t>. Each week consisted of</w:t>
      </w:r>
      <w:r>
        <w:t xml:space="preserve"> a </w:t>
      </w:r>
      <w:r w:rsidR="00B673F5">
        <w:t>50-</w:t>
      </w:r>
      <w:r>
        <w:t xml:space="preserve">minute class early in the week where the instructor and students did FE practice problems together. The students were given three minutes </w:t>
      </w:r>
      <w:r w:rsidR="00824BCF">
        <w:t>to solve each</w:t>
      </w:r>
      <w:r>
        <w:t xml:space="preserve"> problem and then the instructor would solve the problem on the board. The problems were taken from the FE </w:t>
      </w:r>
      <w:r w:rsidR="001B5BA2">
        <w:t xml:space="preserve">Mechanical </w:t>
      </w:r>
      <w:r>
        <w:t>Review Manual</w:t>
      </w:r>
      <w:r w:rsidR="00B827C3">
        <w:t xml:space="preserve"> </w:t>
      </w:r>
      <w:r>
        <w:t>that the students were required to purchase</w:t>
      </w:r>
      <w:r w:rsidR="001B5BA2">
        <w:t xml:space="preserve"> a</w:t>
      </w:r>
      <w:r w:rsidR="003D2992">
        <w:t>s well as</w:t>
      </w:r>
      <w:r w:rsidR="001B5BA2">
        <w:t xml:space="preserve"> the optional FE Review Manual</w:t>
      </w:r>
      <w:r>
        <w:t xml:space="preserve">. The students used an electronic copy of the FE Reference Handbook for reference material. </w:t>
      </w:r>
      <w:r w:rsidR="00301400">
        <w:t>Each</w:t>
      </w:r>
      <w:r>
        <w:t xml:space="preserve"> Friday there was a </w:t>
      </w:r>
      <w:r w:rsidR="00301400">
        <w:t>120</w:t>
      </w:r>
      <w:r w:rsidR="00B673F5">
        <w:t>-</w:t>
      </w:r>
      <w:r>
        <w:t>minute computer</w:t>
      </w:r>
      <w:r w:rsidR="00B37E1C">
        <w:t>-</w:t>
      </w:r>
      <w:r>
        <w:t xml:space="preserve">based quiz </w:t>
      </w:r>
      <w:r w:rsidR="00270BC7">
        <w:t>administered</w:t>
      </w:r>
      <w:r>
        <w:t xml:space="preserve"> </w:t>
      </w:r>
      <w:r w:rsidR="00D602E6" w:rsidRPr="00D570A9">
        <w:rPr>
          <w:rFonts w:eastAsia="Times New Roman"/>
          <w:color w:val="000000"/>
          <w:szCs w:val="24"/>
        </w:rPr>
        <w:t>using the University LMS</w:t>
      </w:r>
      <w:r>
        <w:t xml:space="preserve"> containing FE style problems</w:t>
      </w:r>
      <w:r w:rsidR="00301400">
        <w:t xml:space="preserve"> worth</w:t>
      </w:r>
      <w:r>
        <w:t xml:space="preserve"> 25% of the </w:t>
      </w:r>
      <w:r w:rsidR="00301400">
        <w:t xml:space="preserve">final </w:t>
      </w:r>
      <w:r>
        <w:lastRenderedPageBreak/>
        <w:t xml:space="preserve">grade. Again, the students were only allowed using an electronic copy of the FE Reference Handbook for reference material. Each quiz </w:t>
      </w:r>
      <w:r w:rsidR="00301400">
        <w:t>included approximately 80 questions,</w:t>
      </w:r>
      <w:r>
        <w:t xml:space="preserve"> </w:t>
      </w:r>
      <w:r w:rsidR="00301400">
        <w:t xml:space="preserve">which was intentionally </w:t>
      </w:r>
      <w:r>
        <w:t>more than the students could work in the time allowed. The score</w:t>
      </w:r>
      <w:r w:rsidR="00301400">
        <w:t>s</w:t>
      </w:r>
      <w:r>
        <w:t xml:space="preserve"> for each quiz w</w:t>
      </w:r>
      <w:r w:rsidR="00301400">
        <w:t>ere then</w:t>
      </w:r>
      <w:r>
        <w:t xml:space="preserve"> scaled to </w:t>
      </w:r>
      <w:r w:rsidR="00301400">
        <w:t xml:space="preserve">a total of 40 </w:t>
      </w:r>
      <w:r>
        <w:t>questions. This was done to encourage the students to first solve all of the questions they knew how to solve and that could be solved quickly. Then</w:t>
      </w:r>
      <w:r w:rsidR="00B827C3">
        <w:t>, they were instructed to</w:t>
      </w:r>
      <w:r>
        <w:t xml:space="preserve"> solve the </w:t>
      </w:r>
      <w:r w:rsidR="00B827C3">
        <w:t xml:space="preserve">other </w:t>
      </w:r>
      <w:r>
        <w:t xml:space="preserve">questions that they knew and that were going to take more time. </w:t>
      </w:r>
      <w:r w:rsidR="00301400">
        <w:t>Students</w:t>
      </w:r>
      <w:r w:rsidR="00E43B4F">
        <w:t xml:space="preserve"> were instructed to</w:t>
      </w:r>
      <w:r>
        <w:t xml:space="preserve"> save enough time at the end of the class</w:t>
      </w:r>
      <w:r w:rsidR="00E43B4F">
        <w:t xml:space="preserve"> to </w:t>
      </w:r>
      <w:r>
        <w:t xml:space="preserve">go back and take educated guesses at the remaining problems. The </w:t>
      </w:r>
      <w:r w:rsidR="00301400">
        <w:t xml:space="preserve">methods described </w:t>
      </w:r>
      <w:r>
        <w:t xml:space="preserve">resulted in </w:t>
      </w:r>
      <w:r w:rsidR="00E43B4F">
        <w:t>an</w:t>
      </w:r>
      <w:r>
        <w:t xml:space="preserve"> improvement in students passing the FE as seen in Table 1. The pass rate jumped up to 67%, the highest seen to date.</w:t>
      </w:r>
    </w:p>
    <w:p w:rsidR="00263E48" w:rsidRDefault="00263E48" w:rsidP="00263E48">
      <w:pPr>
        <w:spacing w:after="0" w:line="240" w:lineRule="auto"/>
      </w:pPr>
    </w:p>
    <w:p w:rsidR="006035C8" w:rsidRDefault="0082571B" w:rsidP="00263E48">
      <w:pPr>
        <w:spacing w:after="0" w:line="240" w:lineRule="auto"/>
      </w:pPr>
      <w:r>
        <w:t>During the</w:t>
      </w:r>
      <w:r w:rsidR="0029249F">
        <w:t xml:space="preserve"> </w:t>
      </w:r>
      <w:proofErr w:type="gramStart"/>
      <w:r w:rsidR="0029249F">
        <w:t>Spring</w:t>
      </w:r>
      <w:proofErr w:type="gramEnd"/>
      <w:r w:rsidR="0029249F">
        <w:t xml:space="preserve"> 2019 </w:t>
      </w:r>
      <w:r>
        <w:t>semester</w:t>
      </w:r>
      <w:r w:rsidR="0029249F">
        <w:t xml:space="preserve"> the class</w:t>
      </w:r>
      <w:r>
        <w:t xml:space="preserve"> was delivered</w:t>
      </w:r>
      <w:r w:rsidR="0029249F">
        <w:t xml:space="preserve"> completely online through PPI2Pass. The PPI2Pass website contain</w:t>
      </w:r>
      <w:r w:rsidR="001B5BA2">
        <w:t>s</w:t>
      </w:r>
      <w:r w:rsidR="0029249F">
        <w:t xml:space="preserve"> practice book</w:t>
      </w:r>
      <w:r w:rsidR="001B5BA2">
        <w:t>s including</w:t>
      </w:r>
      <w:r w:rsidR="0029249F">
        <w:t xml:space="preserve"> the</w:t>
      </w:r>
      <w:r w:rsidR="001B5BA2">
        <w:t xml:space="preserve"> book</w:t>
      </w:r>
      <w:r w:rsidR="0029249F">
        <w:t xml:space="preserve"> students were required to purchase in previous semesters along with practice quizzes and practice exams. Students did online practice quizzes during the </w:t>
      </w:r>
      <w:r>
        <w:t>50-</w:t>
      </w:r>
      <w:r w:rsidR="0029249F">
        <w:t xml:space="preserve">minute class early in the week. </w:t>
      </w:r>
      <w:r>
        <w:t>On</w:t>
      </w:r>
      <w:r w:rsidR="0029249F">
        <w:t xml:space="preserve"> Friday class</w:t>
      </w:r>
      <w:r>
        <w:t>es students</w:t>
      </w:r>
      <w:r w:rsidR="0029249F">
        <w:t xml:space="preserve"> did online quizzes where the instructor was able to monitor the results online.  The instructor was able to see the number of attempts taken for each quiz and the results of each attempt. These Friday quizzes were used for 25% of the grade. Going online allowed the students to take practice quizzes </w:t>
      </w:r>
      <w:r w:rsidR="00E43B4F">
        <w:t>which with</w:t>
      </w:r>
      <w:r w:rsidR="0029249F">
        <w:t xml:space="preserve"> solutions any day and time during the semester. The students </w:t>
      </w:r>
      <w:r w:rsidR="00270BC7">
        <w:t>overwhelmingly agreed</w:t>
      </w:r>
      <w:r w:rsidR="0029249F">
        <w:t xml:space="preserve"> this was an advantage over purchasing the book</w:t>
      </w:r>
      <w:r w:rsidR="00270BC7">
        <w:t>(</w:t>
      </w:r>
      <w:r w:rsidR="0029249F">
        <w:t>s</w:t>
      </w:r>
      <w:r w:rsidR="00270BC7">
        <w:t>)</w:t>
      </w:r>
      <w:r w:rsidR="0029249F">
        <w:t>. The negative was the practice quizzes taken during the first class each week had randomly selected problems so the class and instructor were not able to work problems together. The instructor would help students individually with questions they had. As shown in Table 1 the pass rate dropped to 36%. It was thought that this drop could possibly be partly due to not doing practice problems together and/or not having graded quizzes that can only be done in class under the instructors’ supervision.</w:t>
      </w:r>
    </w:p>
    <w:p w:rsidR="0029249F" w:rsidRDefault="0029249F" w:rsidP="00263E48">
      <w:pPr>
        <w:spacing w:after="0" w:line="240" w:lineRule="auto"/>
      </w:pPr>
      <w:r>
        <w:t xml:space="preserve">Therefore, in </w:t>
      </w:r>
      <w:proofErr w:type="gramStart"/>
      <w:r>
        <w:t>Fall</w:t>
      </w:r>
      <w:proofErr w:type="gramEnd"/>
      <w:r>
        <w:t xml:space="preserve"> 2019 the only change made to the class was to return to in class graded quizzes </w:t>
      </w:r>
      <w:r w:rsidR="00270BC7" w:rsidRPr="00D570A9">
        <w:rPr>
          <w:rFonts w:eastAsia="Times New Roman"/>
          <w:color w:val="000000"/>
          <w:szCs w:val="24"/>
        </w:rPr>
        <w:t>using the University LMS</w:t>
      </w:r>
      <w:r w:rsidR="00270BC7">
        <w:t xml:space="preserve"> </w:t>
      </w:r>
      <w:r>
        <w:t>during the Friday class. This allowed the instructor to make sure the students were doing the quizzes individually</w:t>
      </w:r>
      <w:r w:rsidR="00E43B4F">
        <w:t xml:space="preserve"> and with only the FE Reference Handbook</w:t>
      </w:r>
      <w:r>
        <w:t xml:space="preserve">. These quizzes also returned to the format where there were too many to solve in the time allotted. As seen in Table 1 the pass rate did increase to 44%. Spring 2019 started out the same format as </w:t>
      </w:r>
      <w:proofErr w:type="gramStart"/>
      <w:r>
        <w:t>Fall</w:t>
      </w:r>
      <w:proofErr w:type="gramEnd"/>
      <w:r>
        <w:t xml:space="preserve"> 2019 until about half way through the semester where the C</w:t>
      </w:r>
      <w:r w:rsidR="006035C8">
        <w:t>OVID</w:t>
      </w:r>
      <w:r>
        <w:t xml:space="preserve">-19 pandemic caused the class to go completely online. Students scheduled times for taking the FE exam were also moved out to June and July; a significant time after the end of the class. All of the results from this semester have not </w:t>
      </w:r>
      <w:r w:rsidR="00C40CFD">
        <w:t>been returned,</w:t>
      </w:r>
      <w:r w:rsidR="00270BC7">
        <w:t xml:space="preserve"> but preliminary results are suggesting a pass rate under 30%</w:t>
      </w:r>
      <w:r w:rsidR="006035C8">
        <w:t>.</w:t>
      </w:r>
    </w:p>
    <w:p w:rsidR="00A86590" w:rsidRDefault="00A86590" w:rsidP="00263E48">
      <w:pPr>
        <w:spacing w:after="0" w:line="240" w:lineRule="auto"/>
        <w:rPr>
          <w:b/>
        </w:rPr>
      </w:pPr>
    </w:p>
    <w:p w:rsidR="00133039" w:rsidRDefault="00133039" w:rsidP="00263E48">
      <w:pPr>
        <w:spacing w:after="0" w:line="240" w:lineRule="auto"/>
        <w:rPr>
          <w:b/>
        </w:rPr>
      </w:pPr>
      <w:r>
        <w:rPr>
          <w:b/>
        </w:rPr>
        <w:t>Conclusion</w:t>
      </w:r>
    </w:p>
    <w:p w:rsidR="00D32E5C" w:rsidRDefault="00D32E5C" w:rsidP="00263E48">
      <w:pPr>
        <w:spacing w:after="0" w:line="240" w:lineRule="auto"/>
      </w:pPr>
    </w:p>
    <w:p w:rsidR="00456AD7" w:rsidRDefault="00456AD7" w:rsidP="00263E48">
      <w:pPr>
        <w:spacing w:after="0" w:line="240" w:lineRule="auto"/>
      </w:pPr>
      <w:r>
        <w:t xml:space="preserve">The </w:t>
      </w:r>
      <w:r w:rsidR="00A765AE">
        <w:t>subjects in this study</w:t>
      </w:r>
      <w:r>
        <w:t xml:space="preserve"> have scored equal to or above the NCEES </w:t>
      </w:r>
      <w:r w:rsidR="00B77B3D">
        <w:t>reported ABET C</w:t>
      </w:r>
      <w:r>
        <w:t>omparator</w:t>
      </w:r>
      <w:r w:rsidRPr="00456AD7">
        <w:t xml:space="preserve"> </w:t>
      </w:r>
      <w:r>
        <w:t>value for</w:t>
      </w:r>
      <w:r w:rsidR="0059608A">
        <w:t xml:space="preserve"> the majority</w:t>
      </w:r>
      <w:r>
        <w:t xml:space="preserve"> </w:t>
      </w:r>
      <w:r w:rsidR="0059608A">
        <w:t>(</w:t>
      </w:r>
      <w:r>
        <w:t>60%</w:t>
      </w:r>
      <w:r w:rsidR="0059608A">
        <w:t>)</w:t>
      </w:r>
      <w:r>
        <w:t xml:space="preserve"> of the ten semesters reported in this study. The methods used to teach the Professional Practice </w:t>
      </w:r>
      <w:r w:rsidR="0059608A">
        <w:t xml:space="preserve">Seminar </w:t>
      </w:r>
      <w:r>
        <w:t xml:space="preserve">course during the semesters that the students scored highest on the FE are </w:t>
      </w:r>
      <w:r w:rsidR="0059608A">
        <w:t xml:space="preserve">a significant contribution. There are additional factors to consider such as the student demographics, differences in course structure, and the circumstances around the timing of when the student takes the exam. Some students take the exam prior to the end of the semester due to the exam site availability and the </w:t>
      </w:r>
      <w:proofErr w:type="gramStart"/>
      <w:r w:rsidR="0059608A">
        <w:t>students</w:t>
      </w:r>
      <w:proofErr w:type="gramEnd"/>
      <w:r w:rsidR="0059608A">
        <w:t xml:space="preserve"> schedule.</w:t>
      </w:r>
    </w:p>
    <w:p w:rsidR="00133039" w:rsidRDefault="0029249F" w:rsidP="00263E48">
      <w:pPr>
        <w:spacing w:after="0" w:line="240" w:lineRule="auto"/>
      </w:pPr>
      <w:r>
        <w:lastRenderedPageBreak/>
        <w:t>With the limited data available</w:t>
      </w:r>
      <w:r w:rsidR="00A45C92">
        <w:t>,</w:t>
      </w:r>
      <w:r>
        <w:t xml:space="preserve"> teaching this course with one instructor</w:t>
      </w:r>
      <w:r w:rsidR="00D32E5C">
        <w:t xml:space="preserve"> </w:t>
      </w:r>
      <w:r w:rsidR="00A45C92">
        <w:t xml:space="preserve">compared to being shared by several instructors </w:t>
      </w:r>
      <w:r w:rsidR="00D32E5C">
        <w:t>has resulted in some improvements.</w:t>
      </w:r>
      <w:r w:rsidR="00270BC7">
        <w:t xml:space="preserve"> </w:t>
      </w:r>
      <w:r w:rsidR="00D32E5C">
        <w:t>The recommendation is to hold w</w:t>
      </w:r>
      <w:r w:rsidR="00270BC7">
        <w:t xml:space="preserve">eekly in class quizzes </w:t>
      </w:r>
      <w:r w:rsidR="00270BC7" w:rsidRPr="00D570A9">
        <w:rPr>
          <w:rFonts w:eastAsia="Times New Roman"/>
          <w:color w:val="000000"/>
          <w:szCs w:val="24"/>
        </w:rPr>
        <w:t>using the University LMS</w:t>
      </w:r>
      <w:r w:rsidR="00270BC7">
        <w:rPr>
          <w:rFonts w:eastAsia="Times New Roman"/>
          <w:color w:val="000000"/>
          <w:szCs w:val="24"/>
        </w:rPr>
        <w:t xml:space="preserve">, </w:t>
      </w:r>
      <w:r>
        <w:t xml:space="preserve">and </w:t>
      </w:r>
      <w:r w:rsidR="00D32E5C">
        <w:t>a</w:t>
      </w:r>
      <w:r>
        <w:t xml:space="preserve"> return to working out problems together in class. PPI2Pass will grant the instructor of a course the same access to the website as the students at no charge as long as there is a sufficient number of students purchasing the </w:t>
      </w:r>
      <w:r w:rsidR="00D602E6">
        <w:t>website access</w:t>
      </w:r>
      <w:r>
        <w:t>. Th</w:t>
      </w:r>
      <w:r w:rsidR="00D32E5C">
        <w:t>erefore, this</w:t>
      </w:r>
      <w:r>
        <w:t xml:space="preserve"> could allow the class to go back to working problems together with the use of the </w:t>
      </w:r>
      <w:r w:rsidR="00D602E6">
        <w:t>instructor’s</w:t>
      </w:r>
      <w:r>
        <w:t xml:space="preserve"> computer and the projector.</w:t>
      </w:r>
      <w:r w:rsidR="00263E48">
        <w:t xml:space="preserve"> </w:t>
      </w:r>
      <w:r w:rsidR="001B5BA2">
        <w:t>The ability to do practice problems 24/7 on the PPI2Pass website makes this an easy choice to be continued in future semesters.</w:t>
      </w:r>
      <w:r w:rsidR="005A12B9">
        <w:t xml:space="preserve"> </w:t>
      </w:r>
      <w:r w:rsidR="00C40CFD">
        <w:t xml:space="preserve">Miller </w:t>
      </w:r>
      <w:r w:rsidR="001D20E5">
        <w:t>[9]</w:t>
      </w:r>
      <w:r w:rsidR="00C40CFD">
        <w:t xml:space="preserve"> </w:t>
      </w:r>
      <w:r w:rsidR="00D32E5C">
        <w:t xml:space="preserve">suggests </w:t>
      </w:r>
      <w:r w:rsidR="00C40CFD">
        <w:t>a</w:t>
      </w:r>
      <w:r w:rsidR="005A12B9">
        <w:t>nother</w:t>
      </w:r>
      <w:r w:rsidR="00D32E5C">
        <w:t xml:space="preserve"> method to</w:t>
      </w:r>
      <w:r w:rsidR="005A12B9">
        <w:t xml:space="preserve"> consider</w:t>
      </w:r>
      <w:r w:rsidR="00D32E5C">
        <w:t>,</w:t>
      </w:r>
      <w:r w:rsidR="005A12B9">
        <w:t xml:space="preserve"> </w:t>
      </w:r>
      <w:r w:rsidR="00C40CFD">
        <w:t xml:space="preserve">which </w:t>
      </w:r>
      <w:r w:rsidR="005A12B9">
        <w:t xml:space="preserve">is to use the FE Reference Handbook throughout the </w:t>
      </w:r>
      <w:r w:rsidR="009B7116">
        <w:t>Professional Practice</w:t>
      </w:r>
      <w:r w:rsidR="00456AD7">
        <w:t xml:space="preserve"> Seminar</w:t>
      </w:r>
      <w:r w:rsidR="009B7116">
        <w:t xml:space="preserve"> course</w:t>
      </w:r>
      <w:r w:rsidR="005C124D">
        <w:t xml:space="preserve"> as the only formula sheet</w:t>
      </w:r>
      <w:r w:rsidR="00C40CFD">
        <w:t>.</w:t>
      </w:r>
      <w:r w:rsidR="005A12B9">
        <w:t xml:space="preserve"> </w:t>
      </w:r>
      <w:r w:rsidR="009B7116">
        <w:t xml:space="preserve">As earlier referenced authors </w:t>
      </w:r>
      <w:r w:rsidR="001D20E5">
        <w:t>[6</w:t>
      </w:r>
      <w:proofErr w:type="gramStart"/>
      <w:r w:rsidR="001D20E5">
        <w:t>][</w:t>
      </w:r>
      <w:proofErr w:type="gramEnd"/>
      <w:r w:rsidR="001D20E5">
        <w:t>7] al</w:t>
      </w:r>
      <w:r w:rsidR="009B7116">
        <w:t xml:space="preserve">so conclude, motivation of the student is a key factor in success rate in the FE exam. It should be noted that </w:t>
      </w:r>
      <w:r w:rsidR="006D7B0A">
        <w:t xml:space="preserve">it is mandatory for </w:t>
      </w:r>
      <w:r w:rsidR="009B7116">
        <w:t xml:space="preserve">MET students at </w:t>
      </w:r>
      <w:r w:rsidR="00456AD7">
        <w:t>Michigan Tech</w:t>
      </w:r>
      <w:r w:rsidR="009B7116">
        <w:t xml:space="preserve"> to take the exam rather than it being voluntary. The course requirement may motivate some students to perform well, but others may be intimidated by the pressure of a pass/fail course and not perform as well under that pressure. </w:t>
      </w:r>
      <w:r w:rsidR="006D7B0A">
        <w:t>A final</w:t>
      </w:r>
      <w:r w:rsidR="009B7116">
        <w:t xml:space="preserve"> recommend</w:t>
      </w:r>
      <w:r w:rsidR="006D7B0A">
        <w:t>ation to consider is</w:t>
      </w:r>
      <w:r w:rsidR="009B7116">
        <w:t xml:space="preserve"> that</w:t>
      </w:r>
      <w:r w:rsidR="006D7B0A">
        <w:t xml:space="preserve"> 100% of the grade for a professional practice course should not be dependent on the FE exam score</w:t>
      </w:r>
      <w:r w:rsidR="009B7116">
        <w:t>. Also, as ET graduates continue to pass the FE exam in high numbers that all states should allow ET graduates to be licensed as professional engineers.</w:t>
      </w:r>
    </w:p>
    <w:p w:rsidR="00A86590" w:rsidRDefault="00A86590" w:rsidP="00263E48">
      <w:pPr>
        <w:spacing w:after="0" w:line="240" w:lineRule="auto"/>
        <w:jc w:val="center"/>
        <w:rPr>
          <w:b/>
        </w:rPr>
      </w:pPr>
    </w:p>
    <w:p w:rsidR="00A332E0" w:rsidRPr="00A86590" w:rsidRDefault="00B70A32" w:rsidP="00263E48">
      <w:pPr>
        <w:spacing w:after="0" w:line="240" w:lineRule="auto"/>
        <w:rPr>
          <w:b/>
        </w:rPr>
      </w:pPr>
      <w:r w:rsidRPr="00A86590">
        <w:rPr>
          <w:b/>
        </w:rPr>
        <w:t>References</w:t>
      </w:r>
    </w:p>
    <w:p w:rsidR="00263E48" w:rsidRDefault="00263E48" w:rsidP="00263E48">
      <w:pPr>
        <w:spacing w:after="0" w:line="240" w:lineRule="auto"/>
        <w:ind w:left="720" w:hanging="360"/>
        <w:rPr>
          <w:szCs w:val="24"/>
        </w:rPr>
      </w:pPr>
    </w:p>
    <w:p w:rsidR="007C4C1E" w:rsidRPr="007C4C1E" w:rsidRDefault="00D71F78" w:rsidP="00263E48">
      <w:pPr>
        <w:spacing w:after="0" w:line="240" w:lineRule="auto"/>
        <w:ind w:left="360" w:hanging="360"/>
        <w:rPr>
          <w:szCs w:val="24"/>
        </w:rPr>
      </w:pPr>
      <w:r w:rsidRPr="007C4C1E">
        <w:rPr>
          <w:szCs w:val="24"/>
        </w:rPr>
        <w:t>[1]</w:t>
      </w:r>
      <w:r w:rsidRPr="007C4C1E">
        <w:rPr>
          <w:szCs w:val="24"/>
        </w:rPr>
        <w:tab/>
      </w:r>
      <w:proofErr w:type="spellStart"/>
      <w:r w:rsidR="007C4C1E" w:rsidRPr="007C4C1E">
        <w:rPr>
          <w:szCs w:val="24"/>
        </w:rPr>
        <w:t>Lindeburg</w:t>
      </w:r>
      <w:proofErr w:type="spellEnd"/>
      <w:r w:rsidR="007C4C1E" w:rsidRPr="007C4C1E">
        <w:rPr>
          <w:szCs w:val="24"/>
        </w:rPr>
        <w:t xml:space="preserve">, M. R. (2011). FE review manual: Rapid preparation for the fundamentals of engineering exam. </w:t>
      </w:r>
      <w:proofErr w:type="gramStart"/>
      <w:r w:rsidR="007C4C1E" w:rsidRPr="007C4C1E">
        <w:rPr>
          <w:szCs w:val="24"/>
        </w:rPr>
        <w:t>www</w:t>
      </w:r>
      <w:proofErr w:type="gramEnd"/>
      <w:r w:rsidR="007C4C1E" w:rsidRPr="007C4C1E">
        <w:rPr>
          <w:szCs w:val="24"/>
        </w:rPr>
        <w:t xml:space="preserve">. ppi2pass. </w:t>
      </w:r>
      <w:proofErr w:type="gramStart"/>
      <w:r w:rsidR="007C4C1E" w:rsidRPr="007C4C1E">
        <w:rPr>
          <w:szCs w:val="24"/>
        </w:rPr>
        <w:t>com</w:t>
      </w:r>
      <w:proofErr w:type="gramEnd"/>
      <w:r w:rsidR="007C4C1E" w:rsidRPr="007C4C1E">
        <w:rPr>
          <w:szCs w:val="24"/>
        </w:rPr>
        <w:t>.</w:t>
      </w:r>
    </w:p>
    <w:p w:rsidR="00D71F78" w:rsidRPr="00D71F78" w:rsidRDefault="007C4C1E" w:rsidP="00263E48">
      <w:pPr>
        <w:spacing w:after="0" w:line="240" w:lineRule="auto"/>
        <w:ind w:left="360"/>
        <w:rPr>
          <w:szCs w:val="24"/>
        </w:rPr>
      </w:pPr>
      <w:r>
        <w:rPr>
          <w:szCs w:val="24"/>
        </w:rPr>
        <w:t>[2]</w:t>
      </w:r>
      <w:r>
        <w:rPr>
          <w:szCs w:val="24"/>
        </w:rPr>
        <w:tab/>
      </w:r>
      <w:proofErr w:type="spellStart"/>
      <w:r w:rsidR="00D71F78" w:rsidRPr="00D71F78">
        <w:rPr>
          <w:szCs w:val="24"/>
        </w:rPr>
        <w:t>Lindeburg</w:t>
      </w:r>
      <w:proofErr w:type="spellEnd"/>
      <w:r w:rsidR="00D71F78" w:rsidRPr="00D71F78">
        <w:rPr>
          <w:szCs w:val="24"/>
        </w:rPr>
        <w:t xml:space="preserve">, M. R. (2014). FE Mechanical Review Manual. </w:t>
      </w:r>
      <w:proofErr w:type="gramStart"/>
      <w:r w:rsidR="00D71F78" w:rsidRPr="00D71F78">
        <w:rPr>
          <w:szCs w:val="24"/>
        </w:rPr>
        <w:t>www</w:t>
      </w:r>
      <w:proofErr w:type="gramEnd"/>
      <w:r w:rsidR="00D71F78" w:rsidRPr="00D71F78">
        <w:rPr>
          <w:szCs w:val="24"/>
        </w:rPr>
        <w:t xml:space="preserve">. ppi2pass. </w:t>
      </w:r>
      <w:proofErr w:type="gramStart"/>
      <w:r w:rsidR="00D71F78" w:rsidRPr="00D71F78">
        <w:rPr>
          <w:szCs w:val="24"/>
        </w:rPr>
        <w:t>com</w:t>
      </w:r>
      <w:proofErr w:type="gramEnd"/>
      <w:r w:rsidR="00D71F78" w:rsidRPr="00D71F78">
        <w:rPr>
          <w:szCs w:val="24"/>
        </w:rPr>
        <w:t>.</w:t>
      </w:r>
    </w:p>
    <w:p w:rsidR="00D71F78" w:rsidRPr="00D71F78" w:rsidRDefault="00D71F78" w:rsidP="00263E48">
      <w:pPr>
        <w:spacing w:after="0" w:line="240" w:lineRule="auto"/>
        <w:ind w:left="360"/>
        <w:rPr>
          <w:szCs w:val="24"/>
        </w:rPr>
      </w:pPr>
      <w:r>
        <w:rPr>
          <w:szCs w:val="24"/>
        </w:rPr>
        <w:t>[</w:t>
      </w:r>
      <w:r w:rsidR="007C4C1E">
        <w:rPr>
          <w:szCs w:val="24"/>
        </w:rPr>
        <w:t>3</w:t>
      </w:r>
      <w:r>
        <w:rPr>
          <w:szCs w:val="24"/>
        </w:rPr>
        <w:t>]</w:t>
      </w:r>
      <w:r>
        <w:rPr>
          <w:szCs w:val="24"/>
        </w:rPr>
        <w:tab/>
      </w:r>
      <w:r w:rsidRPr="00D71F78">
        <w:rPr>
          <w:szCs w:val="24"/>
        </w:rPr>
        <w:t xml:space="preserve">PPI2Pass (2020). Kaplan Inc. retrieved from </w:t>
      </w:r>
      <w:hyperlink r:id="rId15" w:history="1">
        <w:r w:rsidRPr="00D71F78">
          <w:rPr>
            <w:rStyle w:val="Hyperlink"/>
            <w:szCs w:val="24"/>
          </w:rPr>
          <w:t>www.ppi2pass.com</w:t>
        </w:r>
      </w:hyperlink>
    </w:p>
    <w:p w:rsidR="00D71F78" w:rsidRPr="00D71F78" w:rsidRDefault="00D71F78" w:rsidP="00263E48">
      <w:pPr>
        <w:spacing w:after="0" w:line="240" w:lineRule="auto"/>
        <w:ind w:left="360" w:hanging="360"/>
        <w:rPr>
          <w:szCs w:val="24"/>
        </w:rPr>
      </w:pPr>
      <w:r>
        <w:rPr>
          <w:szCs w:val="24"/>
        </w:rPr>
        <w:t>[</w:t>
      </w:r>
      <w:r w:rsidR="007C4C1E">
        <w:rPr>
          <w:szCs w:val="24"/>
        </w:rPr>
        <w:t>4</w:t>
      </w:r>
      <w:r>
        <w:rPr>
          <w:szCs w:val="24"/>
        </w:rPr>
        <w:t>]</w:t>
      </w:r>
      <w:r>
        <w:rPr>
          <w:szCs w:val="24"/>
        </w:rPr>
        <w:tab/>
      </w:r>
      <w:r w:rsidRPr="00D71F78">
        <w:rPr>
          <w:szCs w:val="24"/>
        </w:rPr>
        <w:t>National Council of Examiners for Engineering and Surveying. (2013). NCEES FE Reference Handbook. National Council of Examiners for Engineering and Surveying.</w:t>
      </w:r>
    </w:p>
    <w:p w:rsidR="00D71F78" w:rsidRPr="00D71F78" w:rsidRDefault="00D71F78" w:rsidP="00263E48">
      <w:pPr>
        <w:spacing w:after="0" w:line="240" w:lineRule="auto"/>
        <w:ind w:left="360" w:hanging="360"/>
        <w:rPr>
          <w:szCs w:val="24"/>
        </w:rPr>
      </w:pPr>
      <w:r>
        <w:rPr>
          <w:szCs w:val="24"/>
        </w:rPr>
        <w:t>[</w:t>
      </w:r>
      <w:r w:rsidR="007C4C1E">
        <w:rPr>
          <w:szCs w:val="24"/>
        </w:rPr>
        <w:t>5</w:t>
      </w:r>
      <w:r>
        <w:rPr>
          <w:szCs w:val="24"/>
        </w:rPr>
        <w:t>]</w:t>
      </w:r>
      <w:r>
        <w:rPr>
          <w:szCs w:val="24"/>
        </w:rPr>
        <w:tab/>
      </w:r>
      <w:r w:rsidRPr="00D71F78">
        <w:rPr>
          <w:szCs w:val="24"/>
        </w:rPr>
        <w:t>Kirkpatrick, A. T., Danielson, S., &amp; Perry, T. (2012, June). ASME vision 2030’s recommendations for mechanical engineering education. In 2012 ASEE Annual Conference &amp; Exposition (pp. 25-209).</w:t>
      </w:r>
    </w:p>
    <w:p w:rsidR="00EC0666" w:rsidRDefault="00C74387" w:rsidP="00263E48">
      <w:pPr>
        <w:spacing w:after="0" w:line="240" w:lineRule="auto"/>
        <w:ind w:left="360" w:hanging="360"/>
        <w:rPr>
          <w:szCs w:val="24"/>
        </w:rPr>
      </w:pPr>
      <w:r>
        <w:rPr>
          <w:szCs w:val="24"/>
        </w:rPr>
        <w:t>[</w:t>
      </w:r>
      <w:r w:rsidR="007C4C1E">
        <w:rPr>
          <w:szCs w:val="24"/>
        </w:rPr>
        <w:t>6</w:t>
      </w:r>
      <w:r>
        <w:rPr>
          <w:szCs w:val="24"/>
        </w:rPr>
        <w:t>]</w:t>
      </w:r>
      <w:r>
        <w:rPr>
          <w:szCs w:val="24"/>
        </w:rPr>
        <w:tab/>
      </w:r>
      <w:proofErr w:type="spellStart"/>
      <w:r w:rsidR="00EC0666" w:rsidRPr="00EC0666">
        <w:rPr>
          <w:szCs w:val="24"/>
        </w:rPr>
        <w:t>Kosowatz</w:t>
      </w:r>
      <w:proofErr w:type="spellEnd"/>
      <w:r w:rsidR="00EC0666">
        <w:rPr>
          <w:szCs w:val="24"/>
        </w:rPr>
        <w:t xml:space="preserve">, J. (2018, June). </w:t>
      </w:r>
      <w:r w:rsidR="00EC0666" w:rsidRPr="00EC0666">
        <w:rPr>
          <w:szCs w:val="24"/>
        </w:rPr>
        <w:t>Salaries Are Up for Mechanical Engineers</w:t>
      </w:r>
      <w:r w:rsidR="00CB4C09">
        <w:rPr>
          <w:szCs w:val="24"/>
        </w:rPr>
        <w:t xml:space="preserve">. Retrieved from </w:t>
      </w:r>
      <w:hyperlink r:id="rId16" w:history="1">
        <w:r w:rsidR="00CB4C09" w:rsidRPr="00F64120">
          <w:rPr>
            <w:rStyle w:val="Hyperlink"/>
            <w:szCs w:val="24"/>
          </w:rPr>
          <w:t>https://www.asme.org/topics-resources/content/salaries-up-for-mechanical-engineers</w:t>
        </w:r>
      </w:hyperlink>
    </w:p>
    <w:p w:rsidR="00A261F3" w:rsidRPr="00C74387" w:rsidRDefault="00CB4C09" w:rsidP="00263E48">
      <w:pPr>
        <w:spacing w:after="0" w:line="240" w:lineRule="auto"/>
        <w:ind w:left="360" w:hanging="360"/>
        <w:rPr>
          <w:szCs w:val="24"/>
        </w:rPr>
      </w:pPr>
      <w:r>
        <w:rPr>
          <w:szCs w:val="24"/>
        </w:rPr>
        <w:t>[7]</w:t>
      </w:r>
      <w:r>
        <w:rPr>
          <w:szCs w:val="24"/>
        </w:rPr>
        <w:tab/>
      </w:r>
      <w:r w:rsidR="00A261F3" w:rsidRPr="00C74387">
        <w:rPr>
          <w:szCs w:val="24"/>
        </w:rPr>
        <w:t>Koehn, E. (1989). "Fundamentals of Engineering Exam: Motivation/Review Enhances Pass Rate." Journal of Professional Issues in Engineering 115(3): 289-296.</w:t>
      </w:r>
    </w:p>
    <w:p w:rsidR="00A261F3" w:rsidRPr="00C74387" w:rsidRDefault="00C74387" w:rsidP="00263E48">
      <w:pPr>
        <w:spacing w:after="0" w:line="240" w:lineRule="auto"/>
        <w:ind w:left="360" w:hanging="360"/>
        <w:rPr>
          <w:color w:val="000000"/>
          <w:szCs w:val="24"/>
          <w:highlight w:val="white"/>
        </w:rPr>
      </w:pPr>
      <w:r>
        <w:rPr>
          <w:szCs w:val="24"/>
        </w:rPr>
        <w:t>[</w:t>
      </w:r>
      <w:r w:rsidR="007C4C1E">
        <w:rPr>
          <w:szCs w:val="24"/>
        </w:rPr>
        <w:t>7</w:t>
      </w:r>
      <w:r>
        <w:rPr>
          <w:szCs w:val="24"/>
        </w:rPr>
        <w:t>]</w:t>
      </w:r>
      <w:r>
        <w:rPr>
          <w:szCs w:val="24"/>
        </w:rPr>
        <w:tab/>
      </w:r>
      <w:r w:rsidR="00A261F3" w:rsidRPr="00C74387">
        <w:rPr>
          <w:szCs w:val="24"/>
        </w:rPr>
        <w:t>Watson, J. L. (1998). An analysis of the value of the FE examination for the assessment of student learning in engineering and science topics. Journal of Engineering Education, 87(3), 305-311.</w:t>
      </w:r>
    </w:p>
    <w:p w:rsidR="00A86590" w:rsidRPr="00A86590" w:rsidRDefault="00A86590" w:rsidP="00263E48">
      <w:pPr>
        <w:spacing w:after="0" w:line="240" w:lineRule="auto"/>
        <w:ind w:left="360" w:hanging="360"/>
        <w:rPr>
          <w:szCs w:val="24"/>
        </w:rPr>
      </w:pPr>
      <w:r>
        <w:rPr>
          <w:color w:val="1C1D1E"/>
          <w:szCs w:val="24"/>
          <w:shd w:val="clear" w:color="auto" w:fill="FFFFFF"/>
        </w:rPr>
        <w:t>[</w:t>
      </w:r>
      <w:r w:rsidR="007C4C1E">
        <w:rPr>
          <w:color w:val="1C1D1E"/>
          <w:szCs w:val="24"/>
          <w:shd w:val="clear" w:color="auto" w:fill="FFFFFF"/>
        </w:rPr>
        <w:t>8</w:t>
      </w:r>
      <w:r>
        <w:rPr>
          <w:color w:val="1C1D1E"/>
          <w:szCs w:val="24"/>
          <w:shd w:val="clear" w:color="auto" w:fill="FFFFFF"/>
        </w:rPr>
        <w:t>]</w:t>
      </w:r>
      <w:r>
        <w:rPr>
          <w:color w:val="1C1D1E"/>
          <w:szCs w:val="24"/>
          <w:shd w:val="clear" w:color="auto" w:fill="FFFFFF"/>
        </w:rPr>
        <w:tab/>
      </w:r>
      <w:proofErr w:type="spellStart"/>
      <w:r w:rsidRPr="00A86590">
        <w:rPr>
          <w:color w:val="1C1D1E"/>
          <w:szCs w:val="24"/>
          <w:shd w:val="clear" w:color="auto" w:fill="FFFFFF"/>
        </w:rPr>
        <w:t>Nirmalakhandan</w:t>
      </w:r>
      <w:proofErr w:type="spellEnd"/>
      <w:r w:rsidRPr="00A86590">
        <w:rPr>
          <w:color w:val="1C1D1E"/>
          <w:szCs w:val="24"/>
          <w:shd w:val="clear" w:color="auto" w:fill="FFFFFF"/>
        </w:rPr>
        <w:t>, N., Daniel, D., &amp; White, K. (2004). Use of Subject‐specific FE Exam Results in Outcomes Assessment. Journal of Engineering Education, 93(1), 73-77.</w:t>
      </w:r>
    </w:p>
    <w:p w:rsidR="00C40CFD" w:rsidRDefault="007C4C1E" w:rsidP="00C16428">
      <w:pPr>
        <w:spacing w:after="0" w:line="240" w:lineRule="auto"/>
        <w:ind w:left="360" w:hanging="360"/>
        <w:rPr>
          <w:color w:val="222222"/>
          <w:szCs w:val="24"/>
          <w:shd w:val="clear" w:color="auto" w:fill="FFFFFF"/>
        </w:rPr>
      </w:pPr>
      <w:r>
        <w:rPr>
          <w:color w:val="222222"/>
          <w:szCs w:val="24"/>
          <w:shd w:val="clear" w:color="auto" w:fill="FFFFFF"/>
        </w:rPr>
        <w:t>[9]</w:t>
      </w:r>
      <w:r>
        <w:rPr>
          <w:color w:val="222222"/>
          <w:szCs w:val="24"/>
          <w:shd w:val="clear" w:color="auto" w:fill="FFFFFF"/>
        </w:rPr>
        <w:tab/>
      </w:r>
      <w:r w:rsidR="00C40CFD" w:rsidRPr="007C4C1E">
        <w:rPr>
          <w:color w:val="222222"/>
          <w:szCs w:val="24"/>
          <w:shd w:val="clear" w:color="auto" w:fill="FFFFFF"/>
        </w:rPr>
        <w:t xml:space="preserve">Miller, A. (2006). 2006-1730:" FE EXAM"-THE FIRST" REALITY SHOW" ENCOUNTER FOR ENGINEERING AND ENGINEERING TECHNOLOGY UNDERGRADUATES. </w:t>
      </w:r>
      <w:proofErr w:type="gramStart"/>
      <w:r w:rsidR="00C40CFD" w:rsidRPr="007C4C1E">
        <w:rPr>
          <w:color w:val="222222"/>
          <w:szCs w:val="24"/>
          <w:shd w:val="clear" w:color="auto" w:fill="FFFFFF"/>
        </w:rPr>
        <w:t>age</w:t>
      </w:r>
      <w:proofErr w:type="gramEnd"/>
      <w:r w:rsidR="00C40CFD" w:rsidRPr="007C4C1E">
        <w:rPr>
          <w:color w:val="222222"/>
          <w:szCs w:val="24"/>
          <w:shd w:val="clear" w:color="auto" w:fill="FFFFFF"/>
        </w:rPr>
        <w:t>, 11, 1.</w:t>
      </w:r>
    </w:p>
    <w:p w:rsidR="00263E48" w:rsidRDefault="00263E48" w:rsidP="00C16428">
      <w:pPr>
        <w:spacing w:after="0" w:line="240" w:lineRule="auto"/>
        <w:ind w:left="360" w:hanging="360"/>
        <w:rPr>
          <w:color w:val="222222"/>
          <w:szCs w:val="24"/>
          <w:shd w:val="clear" w:color="auto" w:fill="FFFFFF"/>
        </w:rPr>
      </w:pPr>
    </w:p>
    <w:p w:rsidR="00263E48" w:rsidRPr="00263E48" w:rsidRDefault="00263E48" w:rsidP="00C16428">
      <w:pPr>
        <w:spacing w:after="0" w:line="240" w:lineRule="auto"/>
        <w:rPr>
          <w:b/>
          <w:color w:val="222222"/>
          <w:szCs w:val="24"/>
          <w:shd w:val="clear" w:color="auto" w:fill="FFFFFF"/>
        </w:rPr>
      </w:pPr>
      <w:r w:rsidRPr="00263E48">
        <w:rPr>
          <w:b/>
          <w:color w:val="222222"/>
          <w:szCs w:val="24"/>
          <w:shd w:val="clear" w:color="auto" w:fill="FFFFFF"/>
        </w:rPr>
        <w:t>Biographies</w:t>
      </w:r>
      <w:bookmarkStart w:id="3" w:name="_GoBack"/>
      <w:bookmarkEnd w:id="3"/>
    </w:p>
    <w:p w:rsidR="00C16428" w:rsidRDefault="00C16428" w:rsidP="00C16428">
      <w:pPr>
        <w:spacing w:after="0" w:line="240" w:lineRule="auto"/>
      </w:pPr>
    </w:p>
    <w:p w:rsidR="00C16428" w:rsidRDefault="00C16428" w:rsidP="00C16428">
      <w:pPr>
        <w:spacing w:after="0" w:line="240" w:lineRule="auto"/>
        <w:rPr>
          <w:rFonts w:eastAsiaTheme="minorHAnsi"/>
          <w:szCs w:val="24"/>
          <w:lang w:eastAsia="en-US"/>
        </w:rPr>
      </w:pPr>
      <w:r>
        <w:t xml:space="preserve">KEVIN JOHNSON </w:t>
      </w:r>
      <w:r>
        <w:t xml:space="preserve">is a lecturer in the Manufacturing and Mechanical Engineering Technology Department at Michigan Technological University. He has a Master's degree in Mechanical Engineering and is most of the way through the research phase of a PhD degree in Mechanical Engineering at Michigan Tech University. He has a PE license along with 20 </w:t>
      </w:r>
      <w:proofErr w:type="spellStart"/>
      <w:r>
        <w:t>years experience</w:t>
      </w:r>
      <w:proofErr w:type="spellEnd"/>
      <w:r>
        <w:t xml:space="preserve"> in machine design and testing. The classes he has taught are Statics, Dynamics, Machine Tool Fundamentals, Computer Aided Manufacturing, Finite Element Analysis, Fundamentals of Engineering Exam preparation.</w:t>
      </w:r>
    </w:p>
    <w:p w:rsidR="00C16428" w:rsidRDefault="00C16428" w:rsidP="00C16428">
      <w:pPr>
        <w:spacing w:after="0" w:line="240" w:lineRule="auto"/>
      </w:pPr>
    </w:p>
    <w:p w:rsidR="00263E48" w:rsidRDefault="00263E48" w:rsidP="00C16428">
      <w:pPr>
        <w:spacing w:after="0" w:line="240" w:lineRule="auto"/>
      </w:pPr>
      <w:r w:rsidRPr="00604AD7">
        <w:t xml:space="preserve">JOHN IRWIN, </w:t>
      </w:r>
      <w:proofErr w:type="spellStart"/>
      <w:r>
        <w:t>Ed.D</w:t>
      </w:r>
      <w:proofErr w:type="spellEnd"/>
      <w:r>
        <w:t>.</w:t>
      </w:r>
      <w:r w:rsidRPr="00604AD7">
        <w:t xml:space="preserve"> </w:t>
      </w:r>
      <w:proofErr w:type="gramStart"/>
      <w:r w:rsidRPr="00604AD7">
        <w:t>is</w:t>
      </w:r>
      <w:proofErr w:type="gramEnd"/>
      <w:r w:rsidRPr="00604AD7">
        <w:t xml:space="preserve"> a tenured Professor, Mechanical Engineering Technology/Chair of the MMET Department in the College of Engineering, at Michigan Technological University. He has a Doctorate in Curriculum and Instruction from Wayne State University, Detroit, Michigan. He is PI for an NSF S-STEM grant until 2022. John is experienced in industry as well as the teaching profession with five years in engineering design, several years part time consulting in industry and over 30 total years of teaching. His research focus is on teaching and learning in computer aided design, analysis, &amp; manufacturing subjects.</w:t>
      </w:r>
    </w:p>
    <w:p w:rsidR="00263E48" w:rsidRPr="007C4C1E" w:rsidRDefault="00263E48" w:rsidP="00263E48">
      <w:pPr>
        <w:spacing w:after="0" w:line="240" w:lineRule="auto"/>
        <w:ind w:left="720" w:hanging="360"/>
        <w:rPr>
          <w:szCs w:val="24"/>
        </w:rPr>
      </w:pPr>
    </w:p>
    <w:sectPr w:rsidR="00263E48" w:rsidRPr="007C4C1E" w:rsidSect="0051628F">
      <w:footerReference w:type="defaul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885" w:rsidRDefault="002E7885">
      <w:pPr>
        <w:spacing w:after="0" w:line="240" w:lineRule="auto"/>
      </w:pPr>
      <w:r>
        <w:separator/>
      </w:r>
    </w:p>
  </w:endnote>
  <w:endnote w:type="continuationSeparator" w:id="0">
    <w:p w:rsidR="002E7885" w:rsidRDefault="002E7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91" w:rsidRDefault="00871691">
    <w:pPr>
      <w:pBdr>
        <w:top w:val="nil"/>
        <w:left w:val="nil"/>
        <w:bottom w:val="nil"/>
        <w:right w:val="nil"/>
        <w:between w:val="nil"/>
      </w:pBdr>
      <w:tabs>
        <w:tab w:val="center" w:pos="4680"/>
        <w:tab w:val="right" w:pos="9360"/>
      </w:tabs>
      <w:jc w:val="right"/>
      <w:rPr>
        <w:rFonts w:eastAsia="Times New Roman"/>
        <w:color w:val="000000"/>
        <w:szCs w:val="24"/>
      </w:rPr>
    </w:pPr>
    <w:r>
      <w:rPr>
        <w:rFonts w:eastAsia="Times New Roman"/>
        <w:color w:val="000000"/>
        <w:szCs w:val="24"/>
      </w:rPr>
      <w:fldChar w:fldCharType="begin"/>
    </w:r>
    <w:r>
      <w:rPr>
        <w:rFonts w:eastAsia="Times New Roman"/>
        <w:color w:val="000000"/>
        <w:szCs w:val="24"/>
      </w:rPr>
      <w:instrText>PAGE</w:instrText>
    </w:r>
    <w:r>
      <w:rPr>
        <w:rFonts w:eastAsia="Times New Roman"/>
        <w:color w:val="000000"/>
        <w:szCs w:val="24"/>
      </w:rPr>
      <w:fldChar w:fldCharType="separate"/>
    </w:r>
    <w:r w:rsidR="00C16428">
      <w:rPr>
        <w:rFonts w:eastAsia="Times New Roman"/>
        <w:noProof/>
        <w:color w:val="000000"/>
        <w:szCs w:val="24"/>
      </w:rPr>
      <w:t>10</w:t>
    </w:r>
    <w:r>
      <w:rPr>
        <w:rFonts w:eastAsia="Times New Roman"/>
        <w:color w:val="000000"/>
        <w:szCs w:val="24"/>
      </w:rPr>
      <w:fldChar w:fldCharType="end"/>
    </w:r>
  </w:p>
  <w:p w:rsidR="00871691" w:rsidRPr="00090DD2" w:rsidRDefault="00871691" w:rsidP="00090DD2">
    <w:pPr>
      <w:tabs>
        <w:tab w:val="center" w:pos="4320"/>
        <w:tab w:val="right" w:pos="8640"/>
      </w:tabs>
      <w:suppressAutoHyphens w:val="0"/>
      <w:overflowPunct w:val="0"/>
      <w:autoSpaceDE w:val="0"/>
      <w:autoSpaceDN w:val="0"/>
      <w:adjustRightInd w:val="0"/>
      <w:spacing w:after="0" w:line="240" w:lineRule="auto"/>
      <w:jc w:val="center"/>
      <w:textAlignment w:val="baseline"/>
      <w:rPr>
        <w:rFonts w:ascii="Arial" w:eastAsia="Times New Roman" w:hAnsi="Arial" w:cs="Arial"/>
        <w:i/>
        <w:iCs/>
        <w:sz w:val="20"/>
        <w:szCs w:val="20"/>
        <w:lang w:eastAsia="en-US"/>
      </w:rPr>
    </w:pPr>
    <w:r w:rsidRPr="00090DD2">
      <w:rPr>
        <w:rFonts w:ascii="Arial" w:eastAsia="Times New Roman" w:hAnsi="Arial" w:cs="Arial"/>
        <w:i/>
        <w:iCs/>
        <w:sz w:val="20"/>
        <w:szCs w:val="20"/>
        <w:lang w:eastAsia="en-US"/>
      </w:rPr>
      <w:t>Proceedings of The 2020 IAJC International Conference</w:t>
    </w:r>
  </w:p>
  <w:p w:rsidR="00871691" w:rsidRPr="00090DD2" w:rsidRDefault="00871691" w:rsidP="00090DD2">
    <w:pPr>
      <w:tabs>
        <w:tab w:val="center" w:pos="4320"/>
        <w:tab w:val="right" w:pos="8640"/>
      </w:tabs>
      <w:suppressAutoHyphens w:val="0"/>
      <w:overflowPunct w:val="0"/>
      <w:autoSpaceDE w:val="0"/>
      <w:autoSpaceDN w:val="0"/>
      <w:adjustRightInd w:val="0"/>
      <w:spacing w:after="0" w:line="240" w:lineRule="auto"/>
      <w:jc w:val="center"/>
      <w:textAlignment w:val="baseline"/>
      <w:rPr>
        <w:rFonts w:eastAsia="Times New Roman"/>
        <w:sz w:val="20"/>
        <w:szCs w:val="20"/>
        <w:lang w:eastAsia="en-US"/>
      </w:rPr>
    </w:pPr>
    <w:r w:rsidRPr="00090DD2">
      <w:rPr>
        <w:rFonts w:ascii="Arial" w:eastAsia="Times New Roman" w:hAnsi="Arial" w:cs="Arial"/>
        <w:i/>
        <w:iCs/>
        <w:sz w:val="20"/>
        <w:szCs w:val="20"/>
        <w:lang w:eastAsia="en-US"/>
      </w:rPr>
      <w:t>ISBN 978-1-60643-379-9</w:t>
    </w:r>
  </w:p>
  <w:p w:rsidR="00871691" w:rsidRDefault="00871691">
    <w:pPr>
      <w:pBdr>
        <w:top w:val="nil"/>
        <w:left w:val="nil"/>
        <w:bottom w:val="nil"/>
        <w:right w:val="nil"/>
        <w:between w:val="nil"/>
      </w:pBdr>
      <w:tabs>
        <w:tab w:val="center" w:pos="4680"/>
        <w:tab w:val="right" w:pos="9360"/>
      </w:tabs>
      <w:rPr>
        <w:rFonts w:eastAsia="Times New Roman"/>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885" w:rsidRDefault="002E7885">
      <w:pPr>
        <w:spacing w:after="0" w:line="240" w:lineRule="auto"/>
      </w:pPr>
      <w:r>
        <w:separator/>
      </w:r>
    </w:p>
  </w:footnote>
  <w:footnote w:type="continuationSeparator" w:id="0">
    <w:p w:rsidR="002E7885" w:rsidRDefault="002E7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529E0"/>
    <w:multiLevelType w:val="hybridMultilevel"/>
    <w:tmpl w:val="B1A470B2"/>
    <w:lvl w:ilvl="0" w:tplc="7A42B2F4">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22572"/>
    <w:multiLevelType w:val="hybridMultilevel"/>
    <w:tmpl w:val="A798E1E6"/>
    <w:lvl w:ilvl="0" w:tplc="8D7C71EA">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C9C499C"/>
    <w:multiLevelType w:val="multilevel"/>
    <w:tmpl w:val="334AEB68"/>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AC146D5"/>
    <w:multiLevelType w:val="hybridMultilevel"/>
    <w:tmpl w:val="4230AC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p5tew9wed9wxpeeaev5ppe5da0pewdpapwf&quot;&gt;KMJ EndNote Library&lt;record-ids&gt;&lt;item&gt;24&lt;/item&gt;&lt;/record-ids&gt;&lt;/item&gt;&lt;/Libraries&gt;"/>
  </w:docVars>
  <w:rsids>
    <w:rsidRoot w:val="00A332E0"/>
    <w:rsid w:val="0000464E"/>
    <w:rsid w:val="000046B2"/>
    <w:rsid w:val="00021949"/>
    <w:rsid w:val="000247FC"/>
    <w:rsid w:val="0002503B"/>
    <w:rsid w:val="0002524B"/>
    <w:rsid w:val="00090DD2"/>
    <w:rsid w:val="000F4ECF"/>
    <w:rsid w:val="0012790F"/>
    <w:rsid w:val="00133039"/>
    <w:rsid w:val="00142BE5"/>
    <w:rsid w:val="001516EE"/>
    <w:rsid w:val="001625C1"/>
    <w:rsid w:val="0017199C"/>
    <w:rsid w:val="001833FC"/>
    <w:rsid w:val="001A13B1"/>
    <w:rsid w:val="001A407D"/>
    <w:rsid w:val="001B5BA2"/>
    <w:rsid w:val="001C0C80"/>
    <w:rsid w:val="001D11C9"/>
    <w:rsid w:val="001D20E5"/>
    <w:rsid w:val="001E77C8"/>
    <w:rsid w:val="001F321D"/>
    <w:rsid w:val="0023385C"/>
    <w:rsid w:val="00263E48"/>
    <w:rsid w:val="00270BC7"/>
    <w:rsid w:val="002866B5"/>
    <w:rsid w:val="0029249F"/>
    <w:rsid w:val="00295835"/>
    <w:rsid w:val="00296741"/>
    <w:rsid w:val="002E7885"/>
    <w:rsid w:val="00301400"/>
    <w:rsid w:val="00320BB4"/>
    <w:rsid w:val="003478D2"/>
    <w:rsid w:val="00347C4C"/>
    <w:rsid w:val="00352D91"/>
    <w:rsid w:val="00360B9F"/>
    <w:rsid w:val="00380A0B"/>
    <w:rsid w:val="00387CB8"/>
    <w:rsid w:val="003A4AD1"/>
    <w:rsid w:val="003B4600"/>
    <w:rsid w:val="003C3341"/>
    <w:rsid w:val="003D2992"/>
    <w:rsid w:val="003D66BC"/>
    <w:rsid w:val="003F5416"/>
    <w:rsid w:val="00412D75"/>
    <w:rsid w:val="00416322"/>
    <w:rsid w:val="00422AC3"/>
    <w:rsid w:val="00431C19"/>
    <w:rsid w:val="004350F4"/>
    <w:rsid w:val="00437B41"/>
    <w:rsid w:val="00450C68"/>
    <w:rsid w:val="00456AD7"/>
    <w:rsid w:val="00470307"/>
    <w:rsid w:val="00475F93"/>
    <w:rsid w:val="00486D39"/>
    <w:rsid w:val="0049638E"/>
    <w:rsid w:val="004A4A80"/>
    <w:rsid w:val="004A5100"/>
    <w:rsid w:val="004B2BD0"/>
    <w:rsid w:val="004C089D"/>
    <w:rsid w:val="004D4666"/>
    <w:rsid w:val="004D5483"/>
    <w:rsid w:val="004D7CC3"/>
    <w:rsid w:val="004E7551"/>
    <w:rsid w:val="004F1A9D"/>
    <w:rsid w:val="0051628F"/>
    <w:rsid w:val="005260F6"/>
    <w:rsid w:val="005416D1"/>
    <w:rsid w:val="00543376"/>
    <w:rsid w:val="00557092"/>
    <w:rsid w:val="005623B2"/>
    <w:rsid w:val="0059608A"/>
    <w:rsid w:val="005A12B9"/>
    <w:rsid w:val="005A5A57"/>
    <w:rsid w:val="005B1B32"/>
    <w:rsid w:val="005B3B6D"/>
    <w:rsid w:val="005C124D"/>
    <w:rsid w:val="005F6749"/>
    <w:rsid w:val="005F7AA7"/>
    <w:rsid w:val="006035C8"/>
    <w:rsid w:val="00612BE2"/>
    <w:rsid w:val="0066771D"/>
    <w:rsid w:val="00672C66"/>
    <w:rsid w:val="006835F8"/>
    <w:rsid w:val="006A28F3"/>
    <w:rsid w:val="006B440C"/>
    <w:rsid w:val="006B44FF"/>
    <w:rsid w:val="006C3F58"/>
    <w:rsid w:val="006C494E"/>
    <w:rsid w:val="006D7B0A"/>
    <w:rsid w:val="007144DD"/>
    <w:rsid w:val="00736A7A"/>
    <w:rsid w:val="00741792"/>
    <w:rsid w:val="0074481F"/>
    <w:rsid w:val="0075593C"/>
    <w:rsid w:val="00763BDF"/>
    <w:rsid w:val="00777371"/>
    <w:rsid w:val="00777F34"/>
    <w:rsid w:val="00784F73"/>
    <w:rsid w:val="007A0D3F"/>
    <w:rsid w:val="007B0571"/>
    <w:rsid w:val="007C4C1E"/>
    <w:rsid w:val="007E6A4B"/>
    <w:rsid w:val="007F2E77"/>
    <w:rsid w:val="007F5E8E"/>
    <w:rsid w:val="008035D1"/>
    <w:rsid w:val="008039D9"/>
    <w:rsid w:val="0082019C"/>
    <w:rsid w:val="00820367"/>
    <w:rsid w:val="00824BCF"/>
    <w:rsid w:val="0082571B"/>
    <w:rsid w:val="0083384F"/>
    <w:rsid w:val="008460AF"/>
    <w:rsid w:val="008700F2"/>
    <w:rsid w:val="00871691"/>
    <w:rsid w:val="00873A1F"/>
    <w:rsid w:val="00875513"/>
    <w:rsid w:val="008915DF"/>
    <w:rsid w:val="008C3192"/>
    <w:rsid w:val="008C3791"/>
    <w:rsid w:val="008C39F0"/>
    <w:rsid w:val="008C7C89"/>
    <w:rsid w:val="008D05DD"/>
    <w:rsid w:val="009134EC"/>
    <w:rsid w:val="00915763"/>
    <w:rsid w:val="0095046D"/>
    <w:rsid w:val="00951C9A"/>
    <w:rsid w:val="00971F1E"/>
    <w:rsid w:val="009753F0"/>
    <w:rsid w:val="00991DA4"/>
    <w:rsid w:val="00992D7C"/>
    <w:rsid w:val="009A6D90"/>
    <w:rsid w:val="009B228F"/>
    <w:rsid w:val="009B7116"/>
    <w:rsid w:val="009C39E8"/>
    <w:rsid w:val="009C6DF9"/>
    <w:rsid w:val="009E49D8"/>
    <w:rsid w:val="009F03CE"/>
    <w:rsid w:val="009F7903"/>
    <w:rsid w:val="00A03F45"/>
    <w:rsid w:val="00A13C13"/>
    <w:rsid w:val="00A14618"/>
    <w:rsid w:val="00A20840"/>
    <w:rsid w:val="00A261F3"/>
    <w:rsid w:val="00A332E0"/>
    <w:rsid w:val="00A4324A"/>
    <w:rsid w:val="00A45C92"/>
    <w:rsid w:val="00A624F3"/>
    <w:rsid w:val="00A66E22"/>
    <w:rsid w:val="00A765AE"/>
    <w:rsid w:val="00A82B41"/>
    <w:rsid w:val="00A862C9"/>
    <w:rsid w:val="00A86590"/>
    <w:rsid w:val="00A873BD"/>
    <w:rsid w:val="00AA31B5"/>
    <w:rsid w:val="00AC0DED"/>
    <w:rsid w:val="00AC1890"/>
    <w:rsid w:val="00AE2DD3"/>
    <w:rsid w:val="00AE5720"/>
    <w:rsid w:val="00AF027C"/>
    <w:rsid w:val="00B21E9E"/>
    <w:rsid w:val="00B25DFF"/>
    <w:rsid w:val="00B30940"/>
    <w:rsid w:val="00B34DDC"/>
    <w:rsid w:val="00B37E1C"/>
    <w:rsid w:val="00B467B7"/>
    <w:rsid w:val="00B4725F"/>
    <w:rsid w:val="00B61C44"/>
    <w:rsid w:val="00B673F5"/>
    <w:rsid w:val="00B70A32"/>
    <w:rsid w:val="00B7490E"/>
    <w:rsid w:val="00B77B3D"/>
    <w:rsid w:val="00B827C3"/>
    <w:rsid w:val="00C050D0"/>
    <w:rsid w:val="00C116AE"/>
    <w:rsid w:val="00C16428"/>
    <w:rsid w:val="00C2367C"/>
    <w:rsid w:val="00C25115"/>
    <w:rsid w:val="00C40CFD"/>
    <w:rsid w:val="00C673FF"/>
    <w:rsid w:val="00C74387"/>
    <w:rsid w:val="00C759C6"/>
    <w:rsid w:val="00C860A2"/>
    <w:rsid w:val="00C92D73"/>
    <w:rsid w:val="00CA4525"/>
    <w:rsid w:val="00CB4C09"/>
    <w:rsid w:val="00CC282C"/>
    <w:rsid w:val="00CD723E"/>
    <w:rsid w:val="00CE7B65"/>
    <w:rsid w:val="00D0759B"/>
    <w:rsid w:val="00D25367"/>
    <w:rsid w:val="00D2624B"/>
    <w:rsid w:val="00D32E5C"/>
    <w:rsid w:val="00D570A9"/>
    <w:rsid w:val="00D602E6"/>
    <w:rsid w:val="00D61F10"/>
    <w:rsid w:val="00D71F78"/>
    <w:rsid w:val="00DB458D"/>
    <w:rsid w:val="00DE4228"/>
    <w:rsid w:val="00E25C87"/>
    <w:rsid w:val="00E272C8"/>
    <w:rsid w:val="00E34021"/>
    <w:rsid w:val="00E43B4F"/>
    <w:rsid w:val="00E63F7F"/>
    <w:rsid w:val="00E8100B"/>
    <w:rsid w:val="00EA2764"/>
    <w:rsid w:val="00EB45A6"/>
    <w:rsid w:val="00EB5398"/>
    <w:rsid w:val="00EC0666"/>
    <w:rsid w:val="00ED7586"/>
    <w:rsid w:val="00F23B32"/>
    <w:rsid w:val="00F27C82"/>
    <w:rsid w:val="00F408BF"/>
    <w:rsid w:val="00F71C79"/>
    <w:rsid w:val="00F74A39"/>
    <w:rsid w:val="00F93829"/>
    <w:rsid w:val="00FA39C1"/>
    <w:rsid w:val="00FC71CB"/>
    <w:rsid w:val="00FE2F46"/>
    <w:rsid w:val="00FF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AA38A"/>
  <w15:docId w15:val="{A2607546-7D05-4D39-A2F9-FA640E4D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039"/>
    <w:pPr>
      <w:suppressAutoHyphens/>
    </w:pPr>
    <w:rPr>
      <w:rFonts w:eastAsia="Calibri"/>
      <w:szCs w:val="22"/>
      <w:lang w:eastAsia="ar-SA"/>
    </w:rPr>
  </w:style>
  <w:style w:type="paragraph" w:styleId="Heading1">
    <w:name w:val="heading 1"/>
    <w:basedOn w:val="Normal"/>
    <w:next w:val="Normal"/>
    <w:qFormat/>
    <w:pPr>
      <w:keepNext/>
      <w:keepLines/>
      <w:numPr>
        <w:numId w:val="1"/>
      </w:numPr>
      <w:spacing w:before="480" w:after="0"/>
      <w:outlineLvl w:val="0"/>
    </w:pPr>
    <w:rPr>
      <w:rFonts w:ascii="Cambria" w:eastAsia="Times New Roman" w:hAnsi="Cambria"/>
      <w:b/>
      <w:bCs/>
      <w:color w:val="365F91"/>
      <w:sz w:val="28"/>
      <w:szCs w:val="28"/>
      <w:lang w:val="x-none" w:eastAsia="en-US" w:bidi="en-U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6z0">
    <w:name w:val="WW8Num6z0"/>
    <w:rPr>
      <w:rFonts w:ascii="Arial" w:hAnsi="Aria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Times New Roman" w:eastAsia="Calibri" w:hAnsi="Times New Roman" w:cs="Times New Roman"/>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sz w:val="28"/>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Arial" w:hAnsi="Arial"/>
    </w:rPr>
  </w:style>
  <w:style w:type="character" w:customStyle="1" w:styleId="WW8Num16z0">
    <w:name w:val="WW8Num16z0"/>
    <w:rPr>
      <w:rFonts w:ascii="Arial" w:hAnsi="Arial"/>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HeaderChar">
    <w:name w:val="Header Char"/>
    <w:basedOn w:val="DefaultParagraphFont"/>
    <w:uiPriority w:val="99"/>
  </w:style>
  <w:style w:type="character" w:customStyle="1" w:styleId="FooterChar">
    <w:name w:val="Footer Char"/>
    <w:basedOn w:val="DefaultParagraphFont"/>
    <w:uiPriority w:val="99"/>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eastAsia="Times New Roman" w:hAnsi="Cambria" w:cs="Times New Roman"/>
      <w:b/>
      <w:bCs/>
      <w:color w:val="365F91"/>
      <w:sz w:val="28"/>
      <w:szCs w:val="28"/>
      <w:lang w:eastAsia="en-US" w:bidi="en-US"/>
    </w:rPr>
  </w:style>
  <w:style w:type="character" w:customStyle="1" w:styleId="NoSpacingChar">
    <w:name w:val="No Spacing Char"/>
    <w:uiPriority w:val="1"/>
    <w:rPr>
      <w:sz w:val="24"/>
      <w:szCs w:val="22"/>
      <w:lang w:val="en-US" w:eastAsia="ar-SA" w:bidi="ar-SA"/>
    </w:rPr>
  </w:style>
  <w:style w:type="character" w:customStyle="1" w:styleId="storyinfo">
    <w:name w:val="story_info"/>
    <w:basedOn w:val="DefaultParagraph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uiPriority w:val="35"/>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Header">
    <w:name w:val="header"/>
    <w:basedOn w:val="Normal"/>
    <w:uiPriority w:val="99"/>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BalloonText">
    <w:name w:val="Balloon Text"/>
    <w:basedOn w:val="Normal"/>
    <w:pPr>
      <w:spacing w:after="0" w:line="240" w:lineRule="auto"/>
    </w:pPr>
    <w:rPr>
      <w:rFonts w:ascii="Tahoma" w:hAnsi="Tahoma"/>
      <w:sz w:val="16"/>
      <w:szCs w:val="16"/>
      <w:lang w:val="x-none"/>
    </w:rPr>
  </w:style>
  <w:style w:type="paragraph" w:styleId="NoSpacing">
    <w:name w:val="No Spacing"/>
    <w:uiPriority w:val="1"/>
    <w:qFormat/>
    <w:pPr>
      <w:suppressAutoHyphens/>
    </w:pPr>
    <w:rPr>
      <w:rFonts w:eastAsia="Calibri"/>
      <w:szCs w:val="22"/>
      <w:lang w:eastAsia="ar-SA"/>
    </w:rPr>
  </w:style>
  <w:style w:type="paragraph" w:styleId="ListParagraph">
    <w:name w:val="List Paragraph"/>
    <w:basedOn w:val="Normal"/>
    <w:uiPriority w:val="34"/>
    <w:qFormat/>
    <w:pPr>
      <w:ind w:left="720"/>
    </w:pPr>
  </w:style>
  <w:style w:type="paragraph" w:styleId="NormalWeb">
    <w:name w:val="Normal (Web)"/>
    <w:basedOn w:val="Normal"/>
    <w:uiPriority w:val="99"/>
    <w:pPr>
      <w:spacing w:before="280" w:after="280" w:line="240" w:lineRule="auto"/>
    </w:pPr>
    <w:rPr>
      <w:rFonts w:eastAsia="Times New Roman"/>
      <w:szCs w:val="24"/>
    </w:rPr>
  </w:style>
  <w:style w:type="paragraph" w:styleId="Bibliography">
    <w:name w:val="Bibliography"/>
    <w:basedOn w:val="Normal"/>
    <w:next w:val="Normal"/>
  </w:style>
  <w:style w:type="paragraph" w:styleId="Revision">
    <w:name w:val="Revision"/>
    <w:pPr>
      <w:suppressAutoHyphens/>
    </w:pPr>
    <w:rPr>
      <w:rFonts w:eastAsia="Calibri"/>
      <w:szCs w:val="22"/>
      <w:lang w:eastAsia="ar-SA"/>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CommentReference">
    <w:name w:val="annotation reference"/>
    <w:uiPriority w:val="99"/>
    <w:semiHidden/>
    <w:unhideWhenUsed/>
    <w:rsid w:val="002C1DBE"/>
    <w:rPr>
      <w:sz w:val="16"/>
      <w:szCs w:val="16"/>
    </w:rPr>
  </w:style>
  <w:style w:type="paragraph" w:styleId="CommentText">
    <w:name w:val="annotation text"/>
    <w:basedOn w:val="Normal"/>
    <w:link w:val="CommentTextChar"/>
    <w:uiPriority w:val="99"/>
    <w:semiHidden/>
    <w:unhideWhenUsed/>
    <w:rsid w:val="002C1DBE"/>
    <w:rPr>
      <w:sz w:val="20"/>
      <w:szCs w:val="20"/>
      <w:lang w:val="x-none"/>
    </w:rPr>
  </w:style>
  <w:style w:type="character" w:customStyle="1" w:styleId="CommentTextChar">
    <w:name w:val="Comment Text Char"/>
    <w:link w:val="CommentText"/>
    <w:uiPriority w:val="99"/>
    <w:semiHidden/>
    <w:rsid w:val="002C1DBE"/>
    <w:rPr>
      <w:rFonts w:eastAsia="Calibri"/>
      <w:lang w:eastAsia="ar-SA"/>
    </w:rPr>
  </w:style>
  <w:style w:type="paragraph" w:styleId="CommentSubject">
    <w:name w:val="annotation subject"/>
    <w:basedOn w:val="CommentText"/>
    <w:next w:val="CommentText"/>
    <w:link w:val="CommentSubjectChar"/>
    <w:uiPriority w:val="99"/>
    <w:semiHidden/>
    <w:unhideWhenUsed/>
    <w:rsid w:val="002C1DBE"/>
    <w:rPr>
      <w:b/>
      <w:bCs/>
    </w:rPr>
  </w:style>
  <w:style w:type="character" w:customStyle="1" w:styleId="CommentSubjectChar">
    <w:name w:val="Comment Subject Char"/>
    <w:link w:val="CommentSubject"/>
    <w:uiPriority w:val="99"/>
    <w:semiHidden/>
    <w:rsid w:val="002C1DBE"/>
    <w:rPr>
      <w:rFonts w:eastAsia="Calibri"/>
      <w:b/>
      <w:bCs/>
      <w:lang w:eastAsia="ar-SA"/>
    </w:rPr>
  </w:style>
  <w:style w:type="character" w:customStyle="1" w:styleId="apple-converted-space">
    <w:name w:val="apple-converted-space"/>
    <w:basedOn w:val="DefaultParagraphFont"/>
    <w:rsid w:val="002B59E7"/>
  </w:style>
  <w:style w:type="character" w:styleId="PageNumber">
    <w:name w:val="page number"/>
    <w:basedOn w:val="DefaultParagraphFont"/>
    <w:uiPriority w:val="99"/>
    <w:semiHidden/>
    <w:unhideWhenUsed/>
    <w:rsid w:val="002B59E7"/>
  </w:style>
  <w:style w:type="paragraph" w:customStyle="1" w:styleId="Standard">
    <w:name w:val="Standard"/>
    <w:rsid w:val="002B59E7"/>
    <w:pPr>
      <w:widowControl w:val="0"/>
      <w:suppressAutoHyphens/>
      <w:autoSpaceDN w:val="0"/>
      <w:textAlignment w:val="baseline"/>
    </w:pPr>
    <w:rPr>
      <w:rFonts w:eastAsia="SimSun" w:cs="Mangal"/>
      <w:kern w:val="3"/>
      <w:lang w:eastAsia="zh-CN" w:bidi="hi-IN"/>
    </w:rPr>
  </w:style>
  <w:style w:type="paragraph" w:styleId="TOCHeading">
    <w:name w:val="TOC Heading"/>
    <w:basedOn w:val="Heading1"/>
    <w:next w:val="Normal"/>
    <w:uiPriority w:val="39"/>
    <w:unhideWhenUsed/>
    <w:qFormat/>
    <w:rsid w:val="002B59E7"/>
    <w:pPr>
      <w:numPr>
        <w:numId w:val="0"/>
      </w:numPr>
      <w:suppressAutoHyphens w:val="0"/>
      <w:spacing w:before="240" w:line="259" w:lineRule="auto"/>
      <w:outlineLvl w:val="9"/>
    </w:pPr>
    <w:rPr>
      <w:b w:val="0"/>
      <w:bCs w:val="0"/>
      <w:sz w:val="32"/>
      <w:szCs w:val="32"/>
      <w:lang w:val="en-US" w:bidi="ar-SA"/>
    </w:rPr>
  </w:style>
  <w:style w:type="paragraph" w:styleId="TOC1">
    <w:name w:val="toc 1"/>
    <w:basedOn w:val="Normal"/>
    <w:next w:val="Normal"/>
    <w:autoRedefine/>
    <w:uiPriority w:val="39"/>
    <w:unhideWhenUsed/>
    <w:rsid w:val="002B59E7"/>
    <w:pPr>
      <w:suppressAutoHyphens w:val="0"/>
      <w:spacing w:after="100" w:line="259" w:lineRule="auto"/>
    </w:pPr>
    <w:rPr>
      <w:rFonts w:ascii="Calibri" w:eastAsia="Times New Roman" w:hAnsi="Calibri"/>
      <w:sz w:val="22"/>
      <w:lang w:eastAsia="en-US"/>
    </w:rPr>
  </w:style>
  <w:style w:type="character" w:styleId="Emphasis">
    <w:name w:val="Emphasis"/>
    <w:uiPriority w:val="20"/>
    <w:qFormat/>
    <w:rsid w:val="00F67F34"/>
    <w:rPr>
      <w:i/>
      <w:iCs/>
    </w:rPr>
  </w:style>
  <w:style w:type="paragraph" w:styleId="BodyTextIndent">
    <w:name w:val="Body Text Indent"/>
    <w:basedOn w:val="Normal"/>
    <w:link w:val="BodyTextIndentChar"/>
    <w:uiPriority w:val="99"/>
    <w:semiHidden/>
    <w:unhideWhenUsed/>
    <w:rsid w:val="005519D0"/>
    <w:pPr>
      <w:spacing w:after="120"/>
      <w:ind w:left="360"/>
    </w:pPr>
    <w:rPr>
      <w:lang w:val="x-none"/>
    </w:rPr>
  </w:style>
  <w:style w:type="character" w:customStyle="1" w:styleId="BodyTextIndentChar">
    <w:name w:val="Body Text Indent Char"/>
    <w:link w:val="BodyTextIndent"/>
    <w:uiPriority w:val="99"/>
    <w:semiHidden/>
    <w:rsid w:val="005519D0"/>
    <w:rPr>
      <w:rFonts w:eastAsia="Calibri"/>
      <w:sz w:val="24"/>
      <w:szCs w:val="22"/>
      <w:lang w:eastAsia="ar-SA"/>
    </w:rPr>
  </w:style>
  <w:style w:type="character" w:customStyle="1" w:styleId="a">
    <w:name w:val="a"/>
    <w:rsid w:val="0048576F"/>
  </w:style>
  <w:style w:type="paragraph" w:styleId="BodyText2">
    <w:name w:val="Body Text 2"/>
    <w:basedOn w:val="Normal"/>
    <w:link w:val="BodyText2Char"/>
    <w:uiPriority w:val="99"/>
    <w:semiHidden/>
    <w:unhideWhenUsed/>
    <w:rsid w:val="00241959"/>
    <w:pPr>
      <w:spacing w:after="120" w:line="480" w:lineRule="auto"/>
    </w:pPr>
  </w:style>
  <w:style w:type="character" w:customStyle="1" w:styleId="BodyText2Char">
    <w:name w:val="Body Text 2 Char"/>
    <w:basedOn w:val="DefaultParagraphFont"/>
    <w:link w:val="BodyText2"/>
    <w:uiPriority w:val="99"/>
    <w:semiHidden/>
    <w:rsid w:val="00241959"/>
    <w:rPr>
      <w:rFonts w:eastAsia="Calibri"/>
      <w:sz w:val="24"/>
      <w:szCs w:val="22"/>
      <w:lang w:eastAsia="ar-SA"/>
    </w:rPr>
  </w:style>
  <w:style w:type="character" w:styleId="PlaceholderText">
    <w:name w:val="Placeholder Text"/>
    <w:basedOn w:val="DefaultParagraphFont"/>
    <w:uiPriority w:val="99"/>
    <w:semiHidden/>
    <w:rsid w:val="008933AA"/>
    <w:rPr>
      <w:color w:val="808080"/>
    </w:rPr>
  </w:style>
  <w:style w:type="character" w:customStyle="1" w:styleId="st">
    <w:name w:val="st"/>
    <w:basedOn w:val="DefaultParagraphFont"/>
    <w:rsid w:val="00730BB2"/>
  </w:style>
  <w:style w:type="character" w:customStyle="1" w:styleId="UnresolvedMention1">
    <w:name w:val="Unresolved Mention1"/>
    <w:basedOn w:val="DefaultParagraphFont"/>
    <w:uiPriority w:val="99"/>
    <w:semiHidden/>
    <w:unhideWhenUsed/>
    <w:rsid w:val="008106B0"/>
    <w:rPr>
      <w:color w:val="605E5C"/>
      <w:shd w:val="clear" w:color="auto" w:fill="E1DFDD"/>
    </w:rPr>
  </w:style>
  <w:style w:type="table" w:styleId="TableGrid">
    <w:name w:val="Table Grid"/>
    <w:basedOn w:val="TableNormal"/>
    <w:uiPriority w:val="59"/>
    <w:rsid w:val="006F0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Pr>
  </w:style>
  <w:style w:type="table" w:customStyle="1" w:styleId="TableGrid1">
    <w:name w:val="Table Grid1"/>
    <w:basedOn w:val="TableNormal"/>
    <w:next w:val="TableGrid"/>
    <w:uiPriority w:val="39"/>
    <w:rsid w:val="004D4666"/>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A5A57"/>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15763"/>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20840"/>
    <w:rPr>
      <w:color w:val="605E5C"/>
      <w:shd w:val="clear" w:color="auto" w:fill="E1DFDD"/>
    </w:rPr>
  </w:style>
  <w:style w:type="character" w:styleId="FollowedHyperlink">
    <w:name w:val="FollowedHyperlink"/>
    <w:basedOn w:val="DefaultParagraphFont"/>
    <w:uiPriority w:val="99"/>
    <w:semiHidden/>
    <w:unhideWhenUsed/>
    <w:rsid w:val="006B44FF"/>
    <w:rPr>
      <w:color w:val="954F72" w:themeColor="followedHyperlink"/>
      <w:u w:val="single"/>
    </w:rPr>
  </w:style>
  <w:style w:type="paragraph" w:styleId="EndnoteText">
    <w:name w:val="endnote text"/>
    <w:basedOn w:val="Normal"/>
    <w:link w:val="EndnoteTextChar"/>
    <w:uiPriority w:val="99"/>
    <w:semiHidden/>
    <w:unhideWhenUsed/>
    <w:rsid w:val="00AA31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31B5"/>
    <w:rPr>
      <w:rFonts w:eastAsia="Calibri"/>
      <w:sz w:val="20"/>
      <w:szCs w:val="20"/>
      <w:lang w:eastAsia="ar-SA"/>
    </w:rPr>
  </w:style>
  <w:style w:type="character" w:styleId="EndnoteReference">
    <w:name w:val="endnote reference"/>
    <w:basedOn w:val="DefaultParagraphFont"/>
    <w:uiPriority w:val="99"/>
    <w:semiHidden/>
    <w:unhideWhenUsed/>
    <w:rsid w:val="00AA31B5"/>
    <w:rPr>
      <w:vertAlign w:val="superscript"/>
    </w:rPr>
  </w:style>
  <w:style w:type="paragraph" w:customStyle="1" w:styleId="EndNoteBibliographyTitle">
    <w:name w:val="EndNote Bibliography Title"/>
    <w:basedOn w:val="Normal"/>
    <w:link w:val="EndNoteBibliographyTitleChar"/>
    <w:rsid w:val="005623B2"/>
    <w:pPr>
      <w:spacing w:after="0"/>
      <w:jc w:val="center"/>
    </w:pPr>
    <w:rPr>
      <w:noProof/>
    </w:rPr>
  </w:style>
  <w:style w:type="character" w:customStyle="1" w:styleId="EndNoteBibliographyTitleChar">
    <w:name w:val="EndNote Bibliography Title Char"/>
    <w:basedOn w:val="DefaultParagraphFont"/>
    <w:link w:val="EndNoteBibliographyTitle"/>
    <w:rsid w:val="005623B2"/>
    <w:rPr>
      <w:rFonts w:eastAsia="Calibri"/>
      <w:noProof/>
      <w:szCs w:val="22"/>
      <w:lang w:eastAsia="ar-SA"/>
    </w:rPr>
  </w:style>
  <w:style w:type="paragraph" w:customStyle="1" w:styleId="EndNoteBibliography">
    <w:name w:val="EndNote Bibliography"/>
    <w:basedOn w:val="Normal"/>
    <w:link w:val="EndNoteBibliographyChar"/>
    <w:rsid w:val="005623B2"/>
    <w:pPr>
      <w:spacing w:line="240" w:lineRule="auto"/>
    </w:pPr>
    <w:rPr>
      <w:noProof/>
    </w:rPr>
  </w:style>
  <w:style w:type="character" w:customStyle="1" w:styleId="EndNoteBibliographyChar">
    <w:name w:val="EndNote Bibliography Char"/>
    <w:basedOn w:val="DefaultParagraphFont"/>
    <w:link w:val="EndNoteBibliography"/>
    <w:rsid w:val="005623B2"/>
    <w:rPr>
      <w:rFonts w:eastAsia="Calibri"/>
      <w:noProof/>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8746">
      <w:bodyDiv w:val="1"/>
      <w:marLeft w:val="0"/>
      <w:marRight w:val="0"/>
      <w:marTop w:val="0"/>
      <w:marBottom w:val="0"/>
      <w:divBdr>
        <w:top w:val="none" w:sz="0" w:space="0" w:color="auto"/>
        <w:left w:val="none" w:sz="0" w:space="0" w:color="auto"/>
        <w:bottom w:val="none" w:sz="0" w:space="0" w:color="auto"/>
        <w:right w:val="none" w:sz="0" w:space="0" w:color="auto"/>
      </w:divBdr>
    </w:div>
    <w:div w:id="531580681">
      <w:bodyDiv w:val="1"/>
      <w:marLeft w:val="0"/>
      <w:marRight w:val="0"/>
      <w:marTop w:val="0"/>
      <w:marBottom w:val="0"/>
      <w:divBdr>
        <w:top w:val="none" w:sz="0" w:space="0" w:color="auto"/>
        <w:left w:val="none" w:sz="0" w:space="0" w:color="auto"/>
        <w:bottom w:val="none" w:sz="0" w:space="0" w:color="auto"/>
        <w:right w:val="none" w:sz="0" w:space="0" w:color="auto"/>
      </w:divBdr>
    </w:div>
    <w:div w:id="737442327">
      <w:bodyDiv w:val="1"/>
      <w:marLeft w:val="0"/>
      <w:marRight w:val="0"/>
      <w:marTop w:val="0"/>
      <w:marBottom w:val="0"/>
      <w:divBdr>
        <w:top w:val="none" w:sz="0" w:space="0" w:color="auto"/>
        <w:left w:val="none" w:sz="0" w:space="0" w:color="auto"/>
        <w:bottom w:val="none" w:sz="0" w:space="0" w:color="auto"/>
        <w:right w:val="none" w:sz="0" w:space="0" w:color="auto"/>
      </w:divBdr>
    </w:div>
    <w:div w:id="1070932497">
      <w:bodyDiv w:val="1"/>
      <w:marLeft w:val="0"/>
      <w:marRight w:val="0"/>
      <w:marTop w:val="0"/>
      <w:marBottom w:val="0"/>
      <w:divBdr>
        <w:top w:val="none" w:sz="0" w:space="0" w:color="auto"/>
        <w:left w:val="none" w:sz="0" w:space="0" w:color="auto"/>
        <w:bottom w:val="none" w:sz="0" w:space="0" w:color="auto"/>
        <w:right w:val="none" w:sz="0" w:space="0" w:color="auto"/>
      </w:divBdr>
    </w:div>
    <w:div w:id="1467816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sme.org/topics-resources/content/salaries-up-for-mechanical-engine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ppi2pass.com" TargetMode="External"/><Relationship Id="rId10" Type="http://schemas.openxmlformats.org/officeDocument/2006/relationships/hyperlink" Target="mailto:jlirwin@mtu.ed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kevinj@mtu.edu"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3bGsKrDOETrXHx44t2ropc7kjw==">AMUW2mW10/kGdlpzQK5VwGsCseshczYvOJ+ncK3TIWtddgSB4gGjlmxLiJ8SkEMvdbV7ralT+CBfAkf9poWtnCVA3rFrk/QkZELKCGjSklF1lEZ6N6J2jCZjI5rHYwgo9PzZulqcr1a5BhtaqtaioJhAxvONi4PVdNc1pCOBzD8cz9BFXsa2Gy1Vkz5r8vi9+fComHtqQ9sUmsM1LsigqPtONNxG/ERMe8wD4GEAjI3a9eFadO/KcsCHuXaOtY5yWCEwZ6sC7o2nCxw7tNOz89L8cslzz9NlBqwboS0dchzjji3GoyM2/LeEMNn9MbRcjCb2dNIzPDlvj/yF7Uo11KLkZWeT4npnHRPvixbfMXhAMailQQ50T5CaoOSy2WL71zOwlhvIRna/RJqqec/u6YRwVYL4KRc5mfb7kTV+vl++UO/N0pXO13S5aHTdgnPWTXjYKERLZ0ZbjuNEgmpDSkexsFTS0iSARET0/AGo9iIyLKrM/i+aBzQEe5ckTQP17b6bHvQZDBBZtaQq4p2TlDI69R0wSGXEp4SYm+NzGw+FoXoOHlFRaqkvTgtoganIkisQDlMZFYwizw2f3SdiuuiA2ALZ0C6GMkAnvbqsYXQNJ/Mz+UtUtO/v8w2EQN3S4tJpya18uDFkZlPbU6LVV2UJ2SrXeZWBfsduhFYzorl4dKO0F5T24KNrPdqGmx/7F77s5p2pJ507ee32g2BuLR0xBZVlub9DkXNorFTKMpku68UHqexM6q1oPmOLMfWGSYF7LfAgemonN54p4xZRQibe5B4nQjFQyxRtvX8KEalkwNDcNhZb3VHYCSiYjRXQ0ZcCx20+ZWJlaz6dZZzGtwdFzmZ31dBwhLnWYQXFe0VR/iWWLBV/nYpXVvYRoVhJfCV3qCHlK6OvgcRKl2nCqb0HCSBb8mO8wWSxNARxVJRe5kXSbzEQQTFaeALJOySDr+Qxkybi9safhVaeF+m8EBx8sDt0tC9xgp9GcFpeKLkRS0VV6s2UjnggsRlFoHSccOnyPfJIDDnrCH7UjaG8af5ynH5vsgJMyo3Hxqc2epfta3ARBm1ShbkjgVhXmlyORslWfhXLp6vbSnn+xMLPfKiZBg+Eji3DKDONS70vFJsOTqrgIVyMP1hyBxzW5rI+9bpL0xzH6l6+a43gmqAZciyKahF1d4dA+k9/8zxZxp/BhO3eKhdPzrxICl42ZpW2tzmg6G0iyVEZqGja77IqSmCqY0o6/wR1XHkY+iIvgNtzoal1QV1gm+7VxfbhltcrnRfzPrNTj1G48G6UtmSgk6TWvmYkTbRiWl5F8egWJENEpiNCjXiV5EERuZ2uIobCCba5KTQF0Ae5a/9NmZ05RdxuODInlfDhfrmgNpthKtJd1gXkT9CanLFwUezT7jtiYNTLJDzAkkBA1aPJN/QXbuelzylzSrj87yAXExhKni0nX199XO3OrTvLwwoXyS++vKtubYRSQ+0WhbSU1ii5F0wjJijIcbESXSmIAeS0Of8G2E8bD9g/CSwnQK0xzGppIJRteNeKJCZKHgGt6NBIl09qWzI9WzLG+cHSn4YuQjuLcyijQZlG8srh+c3Ex7MxpylxTK8a4xEdNpWjgPNCZvNIkPBW8/kud2wX1lXazTbmixnCLS+CikKocrG09Ju/f3CAO10IJYiWrC4WwInZr1/4PbvCCeMqQwDd9000VrhPr0qDKalis0o3YhcLJ0q6srAJjidH6IFp5QDyQn9yVknTPGpTgIuPBSi9ALxPzupzRWpLuWhOYCN9VPNWblP8xWdG8NcknejZlAKozN8cCQXpB9U3+zRSV/5VDORMZL/R4nlFnLtJnj8oO5GT7vyqPs9cjeaO7V8uNAvi+k5wlqsKbzMbIfgn5uGe4RfnN2UvasCkcmSKxvZOLo5BllI1jJ/BNXrSk4t9xIxgVzZmgTar9rwW+eOiiPeB18IKR+cjO778MhPJjZLg7F/5mMEkJ1i1F3U54rBgfc89T0saSqeIaWRstoQfkkC9Fv6yGV5/ykJDzouYMDl9rVuI602w4wMTEPFIUJo7AdGtS4jc9Qo0fSZjssp098S+ZSv/9oBSE4XocB0KGa04MaR6JMia3vX9YCnRnewI4fd9dDDDtlb/9Iq2Ndee5bi/tqyf3BIQlwC4Zt7EfgORKCcuuZYxyWRB9EZ6DprGSxYo5wSVDaO7pOUREEbp0vN695VXd+Zgv6r5vwnuahYsiz4TqSiwD1d/eKudrevX7uMdykk7WL8JthmgUErBm6/8SPUW4EnAZANuIjYn//TQAMWPrsj3fl4vtsR84qqGPo7qsuPa+Id4DpmU0bI1TQeVIzAkNUyFXvRoJFEb6asOlIdRF2AQMrE+NI3wBQ1Q6KXif8Iz0QF0lc4N/42hV9qrKp4q3Fb5Y6WXGim6uy7PiVZKW3qZewoVrDJZgpJpgc64HpBPUkWRK5raRHbcJNzqzMOEQG+x9nlPUJupuFGhuKzDqSlA0pFeN0MRLWhKrDX/0Liz9kpA1SYv/FILzt8U7iXSIpTyrNWff5v6tbNwdpqGJ2vAaVI2quJs/GMqRZ0wElhu6/syMWllnSjWuUnTrGecsD1wd1dC36rFEsLQWUyUm59jIEb9baHTa+a45S8FMlReKLKDcVrym6Sp5Jh1prGWrqkDXauMLJmiPrVp1WP1NMhkJr3iy+nuocKS2i3IH4WTjikBN1W5VYqBfvxw0wk/Bwc1KI0lMK/Hj+S/eab+y/RfbjHPaWCTYy2akDkSz2wxbL2/QeEowE8ICkpoJPD1xfFwsryOJwAodVn/qojuJ2DA8rGib6tcIKxiFvjQ3imBocK5bbwH07ivrf+ZFnYuYbmoA6zN2ntmLUZnM3GUO4wMp4HofdWAtaTcOlaG2eQ9ikcYqY4cIYrra8ADcDUmiu2JfeB8s5UuujWHJHYX2LqUzI24ZTW/4c40VU2bmEBkUbU7dMuu/tw5N9QJbWAUo7OInrGhzLUsgso1lCtxRYxmbpudyb1KnYgOK2T0Asv9ClYx/g7DzrIPMnD9e2p+wP+zTgPWu5wO7k0Hzd81XVzv8ICawwHELogQWfLq2fLLxcCZZG8ASyspgDEmonv4KNcxGbL2oyZtJ9qFy5Ld8Ms2piDMt5CliRm106gBEoXPfNSzZjctD5wf47fGxyORbtk/6ETTXUYxFLSHhOWH9vQ5y2mRvT2Rjtd22MR/IG4IfpwiUI6UajSzYwXzBhQ8KrYWwt6XJ69icCGXgeKcYBiEmtbovUCBN2vOc86ZBFSnYqDkm7q/3SHNfUwMXWHDJhHDNp1WdYG8Hx+9+Z/8QyXa38Tc4Uf3PCu6EeWArK5hpQcHL1jWPPa8fmzdw9nbbGwu9p6uohbv36yaj7HPrl2HdOps9wTFs33QkxcL37vAQPRYmNqFg6b9BXkQyrcsBGNtgooVAsO9ZNzcrQ5zcolbpJ5vH6D8ia28lvxdewsY4YYW1tkntzUfiltbazDz/Q2GjyIIbtcIojgD29Zg1Mx9dHZJaktMUdnjDYEzBfJcaShXk6dXfZzTXKBySZTRL0EnOlinz7Ki7g9uSdLX2315qjDrvcSxTh25HTFsXF9xVr1cyjNs1glxDrZg+/Lz/ZvEL/VZBSQiI+hxls1SY2/HTGlwVuUZKNzOO/5U7qcr8/OQ7Mj74sOfYo6OdfdaqmyokSHuyUFzYNrRORUMdAeLk+YkFbEnk3it/+ft7sNBpJrA/W+nppLwnKg+NG8GuRH5nILXL7YvPAgQVCKPH72CVtOKRZFVJ/CI/pzySkfabqrJa/Jg1ubFRGmhioOz4u1ktjLAHUMhIBg95GZBn6qRSOyGXp/EC2I9xalKZ9KhQbZAwSuN8BqD0uuyxawuM6G4KcAltNalVHnaFd0IL1Dx//UW247KaTdU1ioxIGN42LjjzsIBOaR7+RrOFkXibc612o6UMK+Z1+KvVsBcGbLZT6mH981Phx+pdhh7XoRXrSRabJzR2ErcFkTwlKXLGB08aOpq4PmRs4LmitFjndtwPgH5UXiQo5XeSP55u6BTjvHwBe65wP2Cw4U9wRz2yz1PSegChKo+BqDZgFmCXeD7BBda6AK3AKmCSLvVYp+ypj1e4AapRuErhIEEtyopikxv+iRCJ7bModagu5TJBcINNsrZxdGS1NzEW9gNTD3RSEftuSI7ip2lDQ8rL5pEDqTCEMQa4h59FbQytlXj602LgrEPkDLTDAlnNwUmQIQOrdpJsed+htJq1HOMSUsiRvMlZeBSoCO0oPM3F6XNp13vPt53aawYj2GBp2s/tAoRSb6CZmoPzbkQWSGxzpLRcyIZJEuIChJhd7Vu506D3mJzUxGOAO8c1hEKAyW5nRIzPMD0fr/DkL0qyU8oziTuc402ddx2VkBWej9gpISnaisb341KYmc44WLzDryoB8OeUFU/uMS4oTafQx8rHDBMCa9kprOmq861SZPpc7NaAawYhU3vfRW/MDqeBM+5xyzR6IIUzxtD0n1BOJRhdeCXqtTH5hDx6K/fm/aVGA9o346WN2m8wfxXDlYZl3ILuNHrH1UT9W2zhhnUGDc73cqbiVRYStjXUwZKXtp2dg9+EfVZGfu2/gGylGZEYjP2iMHvjoOYFwS9MIjFR/z+rreFhkIntc97nNeUaBrbPT8r0zRhUgHUPgWEH1Cq6BUkK7C2c0fSeThozuGE7BqupjUjsO3HZrVWvkClxoAPBi4iSXz6Xd5RGzpQ8Mnjey1nNQDvqTY2Bq1kU8tUUBOGuYvdbCRqfpg27qWWyLmEBsjIp+GHFTRR9nh4Rlhe/TpV0zsg70/ZXZeeM8EZeKHpKF9gEM6FO+qAhcQbKua2UH4QqB3wVAq6JQAokFxDgfp9OFSrSDM3XgPziidfb/pMaoEXCd8RLfEcG5h8WxV1+YbPkEIp3fcEguMX8bAf8iu7sj3j7FZJGlvb7kVeE2eRhkei641AEA3p6h09vDWysIbCkQrOxi9zn9ZOhfBHTyefbdA0CIwrP7MwN8h0r3W3DatK71UkocpPbWqljkB/gQyY2v3pOFPXQYEWStMPmIdC2Gi9+DzOKTlmhxA5w0lfr0HlvcQIT0PRDvPoyR0Ujsv4TXpWyFAcXFAAHPupd4J5grY+SvPX4Zl7R3xQ3JpzMweemUQN1F5oeM3El3tgCy5L+sCs1TETIUdl5jbWwPSXnvRFTGukSDlRbhatjytFoLc51eL24AMBcVX478UDuHUAUEueabwiukxG5k+boTlnhgqbAYfz/ReaVHeVGBlHkWwh2G8AWtCCguHILTwtYcLdjKSTsdFPACayZ9C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1</b:Tag>
    <b:RefOrder>1</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1996892-DEC9-4662-8A83-7F50A7EE3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3141</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21009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goh</dc:creator>
  <cp:lastModifiedBy>Philip David Weinsier</cp:lastModifiedBy>
  <cp:revision>4</cp:revision>
  <dcterms:created xsi:type="dcterms:W3CDTF">2021-01-15T16:40:00Z</dcterms:created>
  <dcterms:modified xsi:type="dcterms:W3CDTF">2021-02-15T20:27:00Z</dcterms:modified>
</cp:coreProperties>
</file>